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CBA50C">
      <w:pPr>
        <w:adjustRightInd w:val="0"/>
        <w:snapToGrid w:val="0"/>
        <w:spacing w:before="156" w:beforeLines="50" w:after="156" w:afterLines="50" w:line="360" w:lineRule="auto"/>
        <w:rPr>
          <w:rFonts w:hint="eastAsia" w:ascii="宋体" w:hAnsi="宋体" w:cs="宋体"/>
          <w:b/>
          <w:bCs/>
          <w:iCs/>
          <w:sz w:val="24"/>
          <w:szCs w:val="24"/>
        </w:rPr>
      </w:pPr>
      <w:r>
        <w:rPr>
          <w:rFonts w:hint="eastAsia" w:ascii="宋体" w:hAnsi="宋体" w:cs="宋体"/>
          <w:b/>
          <w:bCs/>
          <w:iCs/>
          <w:sz w:val="24"/>
          <w:szCs w:val="24"/>
        </w:rPr>
        <w:t>证券代码：688755                                   证券简称：汉邦科技</w:t>
      </w:r>
    </w:p>
    <w:p w14:paraId="660842B5">
      <w:pPr>
        <w:autoSpaceDE w:val="0"/>
        <w:autoSpaceDN w:val="0"/>
        <w:adjustRightInd w:val="0"/>
        <w:snapToGrid w:val="0"/>
        <w:spacing w:before="156" w:beforeLines="50" w:after="156" w:afterLines="50"/>
        <w:ind w:left="141" w:hanging="141" w:hangingChars="50"/>
        <w:jc w:val="center"/>
        <w:rPr>
          <w:rFonts w:hint="eastAsia" w:ascii="黑体" w:hAnsi="黑体" w:eastAsia="黑体" w:cs="黑体"/>
          <w:b/>
          <w:sz w:val="28"/>
          <w:szCs w:val="28"/>
        </w:rPr>
      </w:pPr>
      <w:r>
        <w:rPr>
          <w:rFonts w:hint="eastAsia" w:ascii="黑体" w:hAnsi="黑体" w:eastAsia="黑体" w:cs="黑体"/>
          <w:b/>
          <w:sz w:val="28"/>
          <w:szCs w:val="28"/>
        </w:rPr>
        <w:t>江苏汉邦科技股份有限公司</w:t>
      </w:r>
    </w:p>
    <w:p w14:paraId="4A8777F4">
      <w:pPr>
        <w:autoSpaceDE w:val="0"/>
        <w:autoSpaceDN w:val="0"/>
        <w:adjustRightInd w:val="0"/>
        <w:snapToGrid w:val="0"/>
        <w:spacing w:before="156" w:beforeLines="50" w:after="156" w:afterLines="50"/>
        <w:ind w:left="141" w:hanging="141" w:hangingChars="50"/>
        <w:jc w:val="center"/>
        <w:rPr>
          <w:rFonts w:hint="eastAsia" w:ascii="黑体" w:hAnsi="黑体" w:eastAsia="黑体" w:cs="黑体"/>
          <w:b/>
          <w:sz w:val="28"/>
          <w:szCs w:val="28"/>
        </w:rPr>
      </w:pPr>
      <w:r>
        <w:rPr>
          <w:rFonts w:hint="eastAsia" w:ascii="黑体" w:hAnsi="黑体" w:eastAsia="黑体" w:cs="黑体"/>
          <w:b/>
          <w:sz w:val="28"/>
          <w:szCs w:val="28"/>
        </w:rPr>
        <w:t>投资者关系活动记录表</w:t>
      </w:r>
    </w:p>
    <w:p w14:paraId="4A11A721">
      <w:pPr>
        <w:spacing w:line="400" w:lineRule="exact"/>
        <w:jc w:val="both"/>
        <w:rPr>
          <w:rFonts w:hint="eastAsia" w:ascii="宋体" w:hAnsi="宋体" w:eastAsia="宋体" w:cs="宋体"/>
          <w:bCs/>
          <w:iCs/>
          <w:sz w:val="24"/>
          <w:szCs w:val="24"/>
          <w:lang w:val="en-US" w:eastAsia="zh-CN"/>
        </w:rPr>
      </w:pPr>
      <w:r>
        <w:rPr>
          <w:rFonts w:hint="eastAsia" w:ascii="宋体" w:hAnsi="宋体" w:cs="宋体"/>
          <w:bCs/>
          <w:iCs/>
          <w:sz w:val="24"/>
          <w:szCs w:val="24"/>
        </w:rPr>
        <w:t xml:space="preserve">                                                    </w:t>
      </w:r>
      <w:r>
        <w:rPr>
          <w:rFonts w:hint="eastAsia" w:ascii="宋体" w:hAnsi="宋体" w:cs="宋体"/>
          <w:b/>
          <w:iCs/>
          <w:sz w:val="24"/>
          <w:szCs w:val="24"/>
        </w:rPr>
        <w:t xml:space="preserve">   编号</w:t>
      </w:r>
      <w:r>
        <w:rPr>
          <w:rFonts w:hint="eastAsia" w:ascii="宋体" w:hAnsi="宋体" w:cs="宋体"/>
          <w:bCs/>
          <w:iCs/>
          <w:sz w:val="24"/>
          <w:szCs w:val="24"/>
        </w:rPr>
        <w:t>：2025-00</w:t>
      </w:r>
      <w:r>
        <w:rPr>
          <w:rFonts w:hint="eastAsia" w:ascii="宋体" w:hAnsi="宋体" w:cs="宋体"/>
          <w:bCs/>
          <w:iCs/>
          <w:sz w:val="24"/>
          <w:szCs w:val="24"/>
          <w:lang w:val="en-US" w:eastAsia="zh-CN"/>
        </w:rPr>
        <w:t>2</w:t>
      </w:r>
    </w:p>
    <w:tbl>
      <w:tblPr>
        <w:tblStyle w:val="7"/>
        <w:tblW w:w="9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9"/>
        <w:gridCol w:w="7543"/>
      </w:tblGrid>
      <w:tr w14:paraId="77EDE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7" w:hRule="atLeast"/>
          <w:jc w:val="center"/>
        </w:trPr>
        <w:tc>
          <w:tcPr>
            <w:tcW w:w="1989" w:type="dxa"/>
            <w:shd w:val="clear" w:color="auto" w:fill="auto"/>
            <w:vAlign w:val="center"/>
          </w:tcPr>
          <w:p w14:paraId="22456E83">
            <w:pPr>
              <w:adjustRightInd w:val="0"/>
              <w:snapToGrid w:val="0"/>
              <w:jc w:val="center"/>
              <w:rPr>
                <w:rFonts w:hint="eastAsia" w:ascii="宋体" w:hAnsi="宋体" w:cs="宋体"/>
                <w:b/>
                <w:bCs/>
                <w:iCs/>
                <w:sz w:val="24"/>
                <w:szCs w:val="24"/>
              </w:rPr>
            </w:pPr>
            <w:r>
              <w:rPr>
                <w:rFonts w:hint="eastAsia" w:ascii="宋体" w:hAnsi="宋体" w:cs="宋体"/>
                <w:b/>
                <w:bCs/>
                <w:iCs/>
                <w:sz w:val="24"/>
                <w:szCs w:val="24"/>
              </w:rPr>
              <w:t>投资者关系</w:t>
            </w:r>
          </w:p>
          <w:p w14:paraId="5CAD630B">
            <w:pPr>
              <w:adjustRightInd w:val="0"/>
              <w:snapToGrid w:val="0"/>
              <w:jc w:val="center"/>
              <w:rPr>
                <w:rFonts w:hint="eastAsia" w:ascii="宋体" w:hAnsi="宋体" w:cs="宋体"/>
                <w:b/>
                <w:bCs/>
                <w:iCs/>
                <w:sz w:val="24"/>
                <w:szCs w:val="24"/>
              </w:rPr>
            </w:pPr>
            <w:r>
              <w:rPr>
                <w:rFonts w:hint="eastAsia" w:ascii="宋体" w:hAnsi="宋体" w:cs="宋体"/>
                <w:b/>
                <w:bCs/>
                <w:iCs/>
                <w:sz w:val="24"/>
                <w:szCs w:val="24"/>
              </w:rPr>
              <w:t>活动类别</w:t>
            </w:r>
          </w:p>
          <w:p w14:paraId="02BD7378">
            <w:pPr>
              <w:adjustRightInd w:val="0"/>
              <w:snapToGrid w:val="0"/>
              <w:rPr>
                <w:rFonts w:hint="eastAsia" w:ascii="宋体" w:hAnsi="宋体" w:cs="宋体"/>
                <w:b/>
                <w:bCs/>
                <w:iCs/>
                <w:sz w:val="24"/>
                <w:szCs w:val="24"/>
              </w:rPr>
            </w:pPr>
          </w:p>
        </w:tc>
        <w:tc>
          <w:tcPr>
            <w:tcW w:w="7543" w:type="dxa"/>
            <w:shd w:val="clear" w:color="auto" w:fill="auto"/>
            <w:vAlign w:val="center"/>
          </w:tcPr>
          <w:p w14:paraId="3903673C">
            <w:pPr>
              <w:adjustRightInd w:val="0"/>
              <w:snapToGrid w:val="0"/>
              <w:rPr>
                <w:rFonts w:hint="eastAsia" w:ascii="宋体" w:hAnsi="宋体" w:cs="宋体"/>
                <w:bCs/>
                <w:iCs/>
                <w:sz w:val="24"/>
                <w:szCs w:val="24"/>
              </w:rPr>
            </w:pPr>
            <w:r>
              <w:rPr>
                <w:rFonts w:hint="eastAsia" w:ascii="宋体" w:hAnsi="宋体" w:cs="宋体"/>
                <w:bCs/>
                <w:iCs/>
                <w:sz w:val="24"/>
                <w:szCs w:val="24"/>
              </w:rPr>
              <w:t>□</w:t>
            </w:r>
            <w:r>
              <w:rPr>
                <w:rFonts w:hint="eastAsia" w:ascii="宋体" w:hAnsi="宋体" w:cs="宋体"/>
                <w:sz w:val="24"/>
                <w:szCs w:val="24"/>
              </w:rPr>
              <w:t xml:space="preserve">特定对象调研        </w:t>
            </w:r>
            <w:r>
              <w:rPr>
                <w:rFonts w:hint="eastAsia" w:ascii="宋体" w:hAnsi="宋体" w:cs="宋体"/>
                <w:bCs/>
                <w:iCs/>
                <w:sz w:val="24"/>
                <w:szCs w:val="24"/>
                <w:lang w:eastAsia="zh-CN"/>
              </w:rPr>
              <w:t>☑</w:t>
            </w:r>
            <w:r>
              <w:rPr>
                <w:rFonts w:hint="eastAsia" w:ascii="宋体" w:hAnsi="宋体" w:cs="宋体"/>
                <w:sz w:val="24"/>
                <w:szCs w:val="24"/>
              </w:rPr>
              <w:t>分析师会议</w:t>
            </w:r>
          </w:p>
          <w:p w14:paraId="529C3BD2">
            <w:pPr>
              <w:adjustRightInd w:val="0"/>
              <w:snapToGrid w:val="0"/>
              <w:rPr>
                <w:rFonts w:hint="eastAsia" w:ascii="宋体" w:hAnsi="宋体" w:cs="宋体"/>
                <w:bCs/>
                <w:iCs/>
                <w:sz w:val="24"/>
                <w:szCs w:val="24"/>
              </w:rPr>
            </w:pPr>
            <w:r>
              <w:rPr>
                <w:rFonts w:hint="eastAsia" w:ascii="宋体" w:hAnsi="宋体" w:cs="宋体"/>
                <w:bCs/>
                <w:iCs/>
                <w:sz w:val="24"/>
                <w:szCs w:val="24"/>
              </w:rPr>
              <w:t>□</w:t>
            </w:r>
            <w:r>
              <w:rPr>
                <w:rFonts w:hint="eastAsia" w:ascii="宋体" w:hAnsi="宋体" w:cs="宋体"/>
                <w:sz w:val="24"/>
                <w:szCs w:val="24"/>
              </w:rPr>
              <w:t xml:space="preserve">媒体采访            </w:t>
            </w:r>
            <w:r>
              <w:rPr>
                <w:rFonts w:hint="eastAsia" w:ascii="宋体" w:hAnsi="宋体" w:cs="宋体"/>
                <w:bCs/>
                <w:iCs/>
                <w:sz w:val="24"/>
                <w:szCs w:val="24"/>
                <w:lang w:eastAsia="zh-CN"/>
              </w:rPr>
              <w:t>☑</w:t>
            </w:r>
            <w:r>
              <w:rPr>
                <w:rFonts w:hint="eastAsia" w:ascii="宋体" w:hAnsi="宋体" w:cs="宋体"/>
                <w:sz w:val="24"/>
                <w:szCs w:val="24"/>
              </w:rPr>
              <w:t>业绩说明会</w:t>
            </w:r>
          </w:p>
          <w:p w14:paraId="4EAFBBA8">
            <w:pPr>
              <w:adjustRightInd w:val="0"/>
              <w:snapToGrid w:val="0"/>
              <w:rPr>
                <w:rFonts w:hint="eastAsia" w:ascii="宋体" w:hAnsi="宋体" w:cs="宋体"/>
                <w:bCs/>
                <w:iCs/>
                <w:sz w:val="24"/>
                <w:szCs w:val="24"/>
              </w:rPr>
            </w:pPr>
            <w:r>
              <w:rPr>
                <w:rFonts w:hint="eastAsia" w:ascii="宋体" w:hAnsi="宋体" w:cs="宋体"/>
                <w:bCs/>
                <w:iCs/>
                <w:sz w:val="24"/>
                <w:szCs w:val="24"/>
              </w:rPr>
              <w:t>□</w:t>
            </w:r>
            <w:r>
              <w:rPr>
                <w:rFonts w:hint="eastAsia" w:ascii="宋体" w:hAnsi="宋体" w:cs="宋体"/>
                <w:sz w:val="24"/>
                <w:szCs w:val="24"/>
              </w:rPr>
              <w:t xml:space="preserve">新闻发布会          </w:t>
            </w:r>
            <w:r>
              <w:rPr>
                <w:rFonts w:hint="eastAsia" w:ascii="宋体" w:hAnsi="宋体" w:cs="宋体"/>
                <w:bCs/>
                <w:iCs/>
                <w:sz w:val="24"/>
                <w:szCs w:val="24"/>
                <w:lang w:eastAsia="zh-CN"/>
              </w:rPr>
              <w:t>☑</w:t>
            </w:r>
            <w:r>
              <w:rPr>
                <w:rFonts w:hint="eastAsia" w:ascii="宋体" w:hAnsi="宋体" w:cs="宋体"/>
                <w:sz w:val="24"/>
                <w:szCs w:val="24"/>
              </w:rPr>
              <w:t>路演活动</w:t>
            </w:r>
          </w:p>
          <w:p w14:paraId="46BF0A1A">
            <w:pPr>
              <w:tabs>
                <w:tab w:val="left" w:pos="3045"/>
                <w:tab w:val="center" w:pos="3199"/>
              </w:tabs>
              <w:adjustRightInd w:val="0"/>
              <w:snapToGrid w:val="0"/>
              <w:rPr>
                <w:rFonts w:hint="eastAsia" w:ascii="宋体" w:hAnsi="宋体" w:cs="宋体"/>
                <w:bCs/>
                <w:iCs/>
                <w:sz w:val="24"/>
                <w:szCs w:val="24"/>
              </w:rPr>
            </w:pPr>
            <w:r>
              <w:rPr>
                <w:rFonts w:hint="eastAsia" w:ascii="宋体" w:hAnsi="宋体" w:cs="宋体"/>
                <w:bCs/>
                <w:iCs/>
                <w:sz w:val="24"/>
                <w:szCs w:val="24"/>
                <w:lang w:eastAsia="zh-CN"/>
              </w:rPr>
              <w:t>□</w:t>
            </w:r>
            <w:r>
              <w:rPr>
                <w:rFonts w:hint="eastAsia" w:ascii="宋体" w:hAnsi="宋体" w:cs="宋体"/>
                <w:sz w:val="24"/>
                <w:szCs w:val="24"/>
              </w:rPr>
              <w:t>现场参观</w:t>
            </w:r>
            <w:r>
              <w:rPr>
                <w:rFonts w:hint="eastAsia" w:ascii="宋体" w:hAnsi="宋体" w:cs="宋体"/>
                <w:sz w:val="24"/>
                <w:szCs w:val="24"/>
                <w:lang w:val="en-US" w:eastAsia="zh-CN"/>
              </w:rPr>
              <w:t xml:space="preserve">            </w:t>
            </w:r>
          </w:p>
          <w:p w14:paraId="29F35AC4">
            <w:pPr>
              <w:tabs>
                <w:tab w:val="center" w:pos="3199"/>
              </w:tabs>
              <w:adjustRightInd w:val="0"/>
              <w:snapToGrid w:val="0"/>
              <w:rPr>
                <w:rFonts w:hint="eastAsia" w:ascii="宋体" w:hAnsi="宋体" w:cs="宋体"/>
                <w:bCs/>
                <w:iCs/>
                <w:sz w:val="24"/>
                <w:szCs w:val="24"/>
              </w:rPr>
            </w:pPr>
            <w:r>
              <w:rPr>
                <w:rFonts w:hint="eastAsia" w:ascii="宋体" w:hAnsi="宋体" w:cs="宋体"/>
                <w:bCs/>
                <w:iCs/>
                <w:sz w:val="24"/>
                <w:szCs w:val="24"/>
                <w:lang w:eastAsia="zh-CN"/>
              </w:rPr>
              <w:t>□</w:t>
            </w:r>
            <w:r>
              <w:rPr>
                <w:rFonts w:hint="eastAsia" w:ascii="宋体" w:hAnsi="宋体" w:cs="宋体"/>
                <w:sz w:val="24"/>
                <w:szCs w:val="24"/>
              </w:rPr>
              <w:t>其他</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p>
        </w:tc>
      </w:tr>
      <w:tr w14:paraId="598B9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989" w:type="dxa"/>
            <w:shd w:val="clear" w:color="auto" w:fill="auto"/>
            <w:vAlign w:val="center"/>
          </w:tcPr>
          <w:p w14:paraId="482AE889">
            <w:pPr>
              <w:adjustRightInd w:val="0"/>
              <w:snapToGrid w:val="0"/>
              <w:jc w:val="center"/>
              <w:rPr>
                <w:rFonts w:hint="eastAsia" w:ascii="宋体" w:hAnsi="宋体" w:cs="宋体"/>
                <w:b/>
                <w:bCs/>
                <w:iCs/>
                <w:sz w:val="24"/>
                <w:szCs w:val="24"/>
              </w:rPr>
            </w:pPr>
            <w:r>
              <w:rPr>
                <w:rFonts w:hint="eastAsia" w:ascii="宋体" w:hAnsi="宋体" w:cs="宋体"/>
                <w:b/>
                <w:bCs/>
                <w:iCs/>
                <w:sz w:val="24"/>
                <w:szCs w:val="24"/>
              </w:rPr>
              <w:t>参与单位名称</w:t>
            </w:r>
          </w:p>
        </w:tc>
        <w:tc>
          <w:tcPr>
            <w:tcW w:w="7543" w:type="dxa"/>
            <w:shd w:val="clear" w:color="auto" w:fill="auto"/>
            <w:vAlign w:val="center"/>
          </w:tcPr>
          <w:p w14:paraId="028ECEF6">
            <w:pPr>
              <w:adjustRightInd w:val="0"/>
              <w:snapToGrid w:val="0"/>
              <w:rPr>
                <w:rFonts w:hint="eastAsia" w:ascii="宋体" w:hAnsi="宋体" w:cs="宋体"/>
                <w:bCs/>
                <w:iCs/>
                <w:sz w:val="24"/>
                <w:szCs w:val="24"/>
                <w:lang w:val="en-US" w:eastAsia="zh-CN"/>
              </w:rPr>
            </w:pPr>
            <w:r>
              <w:rPr>
                <w:rFonts w:hint="eastAsia" w:ascii="宋体" w:hAnsi="宋体" w:cs="宋体"/>
                <w:bCs/>
                <w:iCs/>
                <w:sz w:val="24"/>
                <w:szCs w:val="24"/>
                <w:lang w:val="en-US" w:eastAsia="zh-CN"/>
              </w:rPr>
              <w:t>线上参与汉邦科技2025年半年度业绩说明会的投资者</w:t>
            </w:r>
          </w:p>
          <w:p w14:paraId="3127A903">
            <w:pPr>
              <w:adjustRightInd w:val="0"/>
              <w:snapToGrid w:val="0"/>
              <w:rPr>
                <w:rFonts w:hint="default" w:ascii="宋体" w:hAnsi="宋体" w:eastAsia="宋体" w:cs="宋体"/>
                <w:bCs/>
                <w:iCs/>
                <w:sz w:val="24"/>
                <w:szCs w:val="24"/>
                <w:lang w:val="en-US" w:eastAsia="zh-CN"/>
              </w:rPr>
            </w:pPr>
            <w:r>
              <w:rPr>
                <w:rFonts w:hint="eastAsia" w:ascii="宋体" w:hAnsi="宋体" w:cs="宋体"/>
                <w:bCs/>
                <w:iCs/>
                <w:sz w:val="24"/>
                <w:szCs w:val="24"/>
                <w:lang w:val="en-US" w:eastAsia="zh-CN"/>
              </w:rPr>
              <w:t>中信证券</w:t>
            </w:r>
            <w:r>
              <w:rPr>
                <w:rFonts w:hint="eastAsia" w:ascii="宋体" w:hAnsi="宋体" w:cs="宋体"/>
                <w:bCs/>
                <w:iCs/>
                <w:sz w:val="24"/>
                <w:szCs w:val="24"/>
              </w:rPr>
              <w:t>、</w:t>
            </w:r>
            <w:r>
              <w:rPr>
                <w:rFonts w:hint="eastAsia" w:ascii="宋体" w:hAnsi="宋体" w:cs="宋体"/>
                <w:bCs/>
                <w:iCs/>
                <w:sz w:val="24"/>
                <w:szCs w:val="24"/>
                <w:lang w:val="en-US" w:eastAsia="zh-CN"/>
              </w:rPr>
              <w:t>国盛证券</w:t>
            </w:r>
            <w:r>
              <w:rPr>
                <w:rFonts w:hint="eastAsia" w:ascii="宋体" w:hAnsi="宋体" w:cs="宋体"/>
                <w:bCs/>
                <w:iCs/>
                <w:sz w:val="24"/>
                <w:szCs w:val="24"/>
              </w:rPr>
              <w:t>、</w:t>
            </w:r>
            <w:r>
              <w:rPr>
                <w:rFonts w:hint="eastAsia" w:ascii="宋体" w:hAnsi="宋体" w:cs="宋体"/>
                <w:bCs/>
                <w:iCs/>
                <w:sz w:val="24"/>
                <w:szCs w:val="24"/>
                <w:lang w:val="en-US" w:eastAsia="zh-CN"/>
              </w:rPr>
              <w:t>天风证券</w:t>
            </w:r>
            <w:r>
              <w:rPr>
                <w:rFonts w:hint="eastAsia" w:ascii="宋体" w:hAnsi="宋体" w:cs="宋体"/>
                <w:bCs/>
                <w:iCs/>
                <w:sz w:val="24"/>
                <w:szCs w:val="24"/>
              </w:rPr>
              <w:t>、</w:t>
            </w:r>
            <w:r>
              <w:rPr>
                <w:rFonts w:hint="eastAsia" w:ascii="宋体" w:hAnsi="宋体" w:cs="宋体"/>
                <w:bCs/>
                <w:iCs/>
                <w:sz w:val="24"/>
                <w:szCs w:val="24"/>
                <w:lang w:val="en-US" w:eastAsia="zh-CN"/>
              </w:rPr>
              <w:t>西部证券</w:t>
            </w:r>
            <w:r>
              <w:rPr>
                <w:rFonts w:hint="eastAsia" w:ascii="宋体" w:hAnsi="宋体" w:cs="宋体"/>
                <w:bCs/>
                <w:iCs/>
                <w:sz w:val="24"/>
                <w:szCs w:val="24"/>
              </w:rPr>
              <w:t>、</w:t>
            </w:r>
            <w:r>
              <w:rPr>
                <w:rFonts w:hint="eastAsia" w:ascii="宋体" w:hAnsi="宋体" w:cs="宋体"/>
                <w:bCs/>
                <w:iCs/>
                <w:sz w:val="24"/>
                <w:szCs w:val="24"/>
                <w:lang w:val="en-US" w:eastAsia="zh-CN"/>
              </w:rPr>
              <w:t>申万宏源证券、东方证券</w:t>
            </w:r>
            <w:r>
              <w:rPr>
                <w:rFonts w:hint="eastAsia" w:ascii="宋体" w:hAnsi="宋体" w:cs="宋体"/>
                <w:bCs/>
                <w:iCs/>
                <w:sz w:val="24"/>
                <w:szCs w:val="24"/>
              </w:rPr>
              <w:t>、</w:t>
            </w:r>
            <w:r>
              <w:rPr>
                <w:rFonts w:hint="eastAsia" w:ascii="宋体" w:hAnsi="宋体" w:cs="宋体"/>
                <w:bCs/>
                <w:iCs/>
                <w:sz w:val="24"/>
                <w:szCs w:val="24"/>
                <w:lang w:val="en-US" w:eastAsia="zh-CN"/>
              </w:rPr>
              <w:t>华金证券</w:t>
            </w:r>
            <w:r>
              <w:rPr>
                <w:rFonts w:hint="eastAsia" w:ascii="宋体" w:hAnsi="宋体" w:cs="宋体"/>
                <w:bCs/>
                <w:iCs/>
                <w:sz w:val="24"/>
                <w:szCs w:val="24"/>
              </w:rPr>
              <w:t>、</w:t>
            </w:r>
            <w:r>
              <w:rPr>
                <w:rFonts w:hint="eastAsia" w:ascii="宋体" w:hAnsi="宋体" w:cs="宋体"/>
                <w:bCs/>
                <w:iCs/>
                <w:sz w:val="24"/>
                <w:szCs w:val="24"/>
                <w:lang w:val="en-US" w:eastAsia="zh-CN"/>
              </w:rPr>
              <w:t>平安证券</w:t>
            </w:r>
            <w:r>
              <w:rPr>
                <w:rFonts w:hint="eastAsia" w:ascii="宋体" w:hAnsi="宋体" w:cs="宋体"/>
                <w:bCs/>
                <w:iCs/>
                <w:sz w:val="24"/>
                <w:szCs w:val="24"/>
              </w:rPr>
              <w:t>、</w:t>
            </w:r>
            <w:r>
              <w:rPr>
                <w:rFonts w:hint="eastAsia" w:ascii="宋体" w:hAnsi="宋体" w:cs="宋体"/>
                <w:bCs/>
                <w:iCs/>
                <w:sz w:val="24"/>
                <w:szCs w:val="24"/>
                <w:lang w:val="en-US" w:eastAsia="zh-CN"/>
              </w:rPr>
              <w:t>华创证券</w:t>
            </w:r>
            <w:r>
              <w:rPr>
                <w:rFonts w:hint="eastAsia" w:ascii="宋体" w:hAnsi="宋体" w:cs="宋体"/>
                <w:bCs/>
                <w:iCs/>
                <w:sz w:val="24"/>
                <w:szCs w:val="24"/>
              </w:rPr>
              <w:t>、</w:t>
            </w:r>
            <w:r>
              <w:rPr>
                <w:rFonts w:hint="eastAsia" w:ascii="宋体" w:hAnsi="宋体" w:cs="宋体"/>
                <w:bCs/>
                <w:iCs/>
                <w:sz w:val="24"/>
                <w:szCs w:val="24"/>
                <w:lang w:val="en-US" w:eastAsia="zh-CN"/>
              </w:rPr>
              <w:t>嘉实基金、中海基金、敦和资管、君和资本、姚泾河私募、永赢基金</w:t>
            </w:r>
          </w:p>
        </w:tc>
      </w:tr>
      <w:tr w14:paraId="236CD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89" w:type="dxa"/>
            <w:shd w:val="clear" w:color="auto" w:fill="auto"/>
            <w:vAlign w:val="center"/>
          </w:tcPr>
          <w:p w14:paraId="5B61953B">
            <w:pPr>
              <w:adjustRightInd w:val="0"/>
              <w:snapToGrid w:val="0"/>
              <w:jc w:val="center"/>
              <w:rPr>
                <w:rFonts w:hint="eastAsia" w:ascii="宋体" w:hAnsi="宋体" w:cs="宋体"/>
                <w:b/>
                <w:bCs/>
                <w:iCs/>
                <w:sz w:val="24"/>
                <w:szCs w:val="24"/>
              </w:rPr>
            </w:pPr>
            <w:r>
              <w:rPr>
                <w:rFonts w:hint="eastAsia" w:ascii="宋体" w:hAnsi="宋体" w:cs="宋体"/>
                <w:b/>
                <w:bCs/>
                <w:iCs/>
                <w:sz w:val="24"/>
                <w:szCs w:val="24"/>
              </w:rPr>
              <w:t>时间</w:t>
            </w:r>
          </w:p>
        </w:tc>
        <w:tc>
          <w:tcPr>
            <w:tcW w:w="7543" w:type="dxa"/>
            <w:shd w:val="clear" w:color="auto" w:fill="auto"/>
            <w:vAlign w:val="center"/>
          </w:tcPr>
          <w:p w14:paraId="49A6EA06">
            <w:pPr>
              <w:adjustRightInd w:val="0"/>
              <w:snapToGrid w:val="0"/>
              <w:rPr>
                <w:rFonts w:hint="eastAsia" w:ascii="宋体" w:hAnsi="宋体" w:cs="宋体"/>
                <w:bCs/>
                <w:iCs/>
                <w:sz w:val="24"/>
                <w:szCs w:val="24"/>
              </w:rPr>
            </w:pPr>
            <w:r>
              <w:rPr>
                <w:rFonts w:hint="eastAsia" w:ascii="宋体" w:hAnsi="宋体" w:cs="宋体"/>
                <w:bCs/>
                <w:iCs/>
                <w:sz w:val="24"/>
                <w:szCs w:val="24"/>
              </w:rPr>
              <w:t>2025年</w:t>
            </w:r>
            <w:r>
              <w:rPr>
                <w:rFonts w:hint="eastAsia" w:ascii="宋体" w:hAnsi="宋体" w:cs="宋体"/>
                <w:bCs/>
                <w:iCs/>
                <w:sz w:val="24"/>
                <w:szCs w:val="24"/>
                <w:lang w:val="en-US" w:eastAsia="zh-CN"/>
              </w:rPr>
              <w:t>8</w:t>
            </w:r>
            <w:r>
              <w:rPr>
                <w:rFonts w:hint="eastAsia" w:ascii="宋体" w:hAnsi="宋体" w:cs="宋体"/>
                <w:bCs/>
                <w:iCs/>
                <w:sz w:val="24"/>
                <w:szCs w:val="24"/>
              </w:rPr>
              <w:t>月</w:t>
            </w:r>
            <w:r>
              <w:rPr>
                <w:rFonts w:hint="eastAsia" w:ascii="宋体" w:hAnsi="宋体" w:cs="宋体"/>
                <w:bCs/>
                <w:iCs/>
                <w:sz w:val="24"/>
                <w:szCs w:val="24"/>
                <w:lang w:val="en-US" w:eastAsia="zh-CN"/>
              </w:rPr>
              <w:t>27</w:t>
            </w:r>
            <w:r>
              <w:rPr>
                <w:rFonts w:hint="eastAsia" w:ascii="宋体" w:hAnsi="宋体" w:cs="宋体"/>
                <w:bCs/>
                <w:iCs/>
                <w:sz w:val="24"/>
                <w:szCs w:val="24"/>
              </w:rPr>
              <w:t>日-</w:t>
            </w:r>
            <w:r>
              <w:rPr>
                <w:rFonts w:hint="eastAsia" w:ascii="宋体" w:hAnsi="宋体" w:cs="宋体"/>
                <w:bCs/>
                <w:iCs/>
                <w:sz w:val="24"/>
                <w:szCs w:val="24"/>
                <w:lang w:val="en-US" w:eastAsia="zh-CN"/>
              </w:rPr>
              <w:t>9</w:t>
            </w:r>
            <w:r>
              <w:rPr>
                <w:rFonts w:hint="eastAsia" w:ascii="宋体" w:hAnsi="宋体" w:cs="宋体"/>
                <w:bCs/>
                <w:iCs/>
                <w:sz w:val="24"/>
                <w:szCs w:val="24"/>
              </w:rPr>
              <w:t>月</w:t>
            </w:r>
            <w:r>
              <w:rPr>
                <w:rFonts w:hint="eastAsia" w:ascii="宋体" w:hAnsi="宋体" w:cs="宋体"/>
                <w:bCs/>
                <w:iCs/>
                <w:sz w:val="24"/>
                <w:szCs w:val="24"/>
                <w:lang w:val="en-US" w:eastAsia="zh-CN"/>
              </w:rPr>
              <w:t>23</w:t>
            </w:r>
            <w:r>
              <w:rPr>
                <w:rFonts w:hint="eastAsia" w:ascii="宋体" w:hAnsi="宋体" w:cs="宋体"/>
                <w:bCs/>
                <w:iCs/>
                <w:sz w:val="24"/>
                <w:szCs w:val="24"/>
              </w:rPr>
              <w:t>日</w:t>
            </w:r>
          </w:p>
        </w:tc>
      </w:tr>
      <w:tr w14:paraId="110AD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989" w:type="dxa"/>
            <w:shd w:val="clear" w:color="auto" w:fill="auto"/>
            <w:vAlign w:val="center"/>
          </w:tcPr>
          <w:p w14:paraId="2078732D">
            <w:pPr>
              <w:adjustRightInd w:val="0"/>
              <w:snapToGrid w:val="0"/>
              <w:jc w:val="center"/>
              <w:rPr>
                <w:rFonts w:hint="eastAsia" w:ascii="宋体" w:hAnsi="宋体" w:cs="宋体"/>
                <w:b/>
                <w:bCs/>
                <w:iCs/>
                <w:sz w:val="24"/>
                <w:szCs w:val="24"/>
              </w:rPr>
            </w:pPr>
            <w:r>
              <w:rPr>
                <w:rFonts w:hint="eastAsia" w:ascii="宋体" w:hAnsi="宋体" w:cs="宋体"/>
                <w:b/>
                <w:bCs/>
                <w:iCs/>
                <w:sz w:val="24"/>
                <w:szCs w:val="24"/>
              </w:rPr>
              <w:t>地点</w:t>
            </w:r>
          </w:p>
        </w:tc>
        <w:tc>
          <w:tcPr>
            <w:tcW w:w="7543" w:type="dxa"/>
            <w:shd w:val="clear" w:color="auto" w:fill="auto"/>
            <w:vAlign w:val="center"/>
          </w:tcPr>
          <w:p w14:paraId="47E7573E">
            <w:pPr>
              <w:adjustRightInd w:val="0"/>
              <w:snapToGrid w:val="0"/>
              <w:rPr>
                <w:rFonts w:hint="default" w:ascii="宋体" w:hAnsi="宋体" w:eastAsia="宋体" w:cs="宋体"/>
                <w:bCs/>
                <w:iCs/>
                <w:sz w:val="24"/>
                <w:szCs w:val="24"/>
                <w:lang w:val="en-US" w:eastAsia="zh-CN"/>
              </w:rPr>
            </w:pPr>
            <w:r>
              <w:rPr>
                <w:rFonts w:hint="eastAsia" w:ascii="宋体" w:hAnsi="宋体" w:cs="宋体"/>
                <w:bCs/>
                <w:iCs/>
                <w:sz w:val="24"/>
                <w:szCs w:val="24"/>
              </w:rPr>
              <w:t>2025年半年度业绩说明会</w:t>
            </w:r>
            <w:r>
              <w:rPr>
                <w:rFonts w:hint="eastAsia" w:ascii="宋体" w:hAnsi="宋体" w:cs="宋体"/>
                <w:bCs/>
                <w:iCs/>
                <w:sz w:val="24"/>
                <w:szCs w:val="24"/>
                <w:lang w:val="en-US" w:eastAsia="zh-CN"/>
              </w:rPr>
              <w:t>/券商策略会/</w:t>
            </w:r>
            <w:r>
              <w:rPr>
                <w:rFonts w:hint="eastAsia" w:ascii="宋体" w:hAnsi="宋体" w:cs="宋体"/>
                <w:bCs/>
                <w:iCs/>
                <w:sz w:val="24"/>
                <w:szCs w:val="24"/>
              </w:rPr>
              <w:t>线上电话会</w:t>
            </w:r>
          </w:p>
        </w:tc>
      </w:tr>
      <w:tr w14:paraId="40BEA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1989" w:type="dxa"/>
            <w:shd w:val="clear" w:color="auto" w:fill="auto"/>
            <w:vAlign w:val="center"/>
          </w:tcPr>
          <w:p w14:paraId="676CE126">
            <w:pPr>
              <w:adjustRightInd w:val="0"/>
              <w:snapToGrid w:val="0"/>
              <w:jc w:val="center"/>
              <w:rPr>
                <w:rFonts w:hint="eastAsia" w:ascii="宋体" w:hAnsi="宋体" w:cs="宋体"/>
                <w:b/>
                <w:bCs/>
                <w:iCs/>
                <w:sz w:val="24"/>
                <w:szCs w:val="24"/>
              </w:rPr>
            </w:pPr>
            <w:r>
              <w:rPr>
                <w:rFonts w:hint="eastAsia" w:ascii="宋体" w:hAnsi="宋体" w:cs="宋体"/>
                <w:b/>
                <w:bCs/>
                <w:iCs/>
                <w:sz w:val="24"/>
                <w:szCs w:val="24"/>
              </w:rPr>
              <w:t>上市公司接待</w:t>
            </w:r>
          </w:p>
          <w:p w14:paraId="5706620B">
            <w:pPr>
              <w:adjustRightInd w:val="0"/>
              <w:snapToGrid w:val="0"/>
              <w:jc w:val="center"/>
              <w:rPr>
                <w:rFonts w:hint="eastAsia" w:ascii="宋体" w:hAnsi="宋体" w:cs="宋体"/>
                <w:b/>
                <w:bCs/>
                <w:iCs/>
                <w:sz w:val="24"/>
                <w:szCs w:val="24"/>
              </w:rPr>
            </w:pPr>
            <w:r>
              <w:rPr>
                <w:rFonts w:hint="eastAsia" w:ascii="宋体" w:hAnsi="宋体" w:cs="宋体"/>
                <w:b/>
                <w:bCs/>
                <w:iCs/>
                <w:sz w:val="24"/>
                <w:szCs w:val="24"/>
              </w:rPr>
              <w:t>人员姓名</w:t>
            </w:r>
          </w:p>
        </w:tc>
        <w:tc>
          <w:tcPr>
            <w:tcW w:w="7543" w:type="dxa"/>
            <w:shd w:val="clear" w:color="auto" w:fill="auto"/>
            <w:vAlign w:val="center"/>
          </w:tcPr>
          <w:p w14:paraId="28F6F8FC">
            <w:pPr>
              <w:adjustRightInd w:val="0"/>
              <w:snapToGrid w:val="0"/>
              <w:rPr>
                <w:rFonts w:hint="default" w:ascii="宋体" w:hAnsi="宋体" w:eastAsia="宋体" w:cs="宋体"/>
                <w:bCs/>
                <w:iCs/>
                <w:sz w:val="24"/>
                <w:szCs w:val="24"/>
                <w:lang w:val="en-US" w:eastAsia="zh-CN"/>
              </w:rPr>
            </w:pPr>
            <w:r>
              <w:rPr>
                <w:rFonts w:hint="eastAsia" w:ascii="宋体" w:hAnsi="宋体" w:cs="宋体"/>
                <w:bCs/>
                <w:iCs/>
                <w:sz w:val="24"/>
                <w:szCs w:val="24"/>
                <w:lang w:val="en-US" w:eastAsia="zh-CN"/>
              </w:rPr>
              <w:t>董事长、总经理：张大兵</w:t>
            </w:r>
          </w:p>
          <w:p w14:paraId="0E7C694C">
            <w:pPr>
              <w:adjustRightInd w:val="0"/>
              <w:snapToGrid w:val="0"/>
              <w:rPr>
                <w:rFonts w:hint="default" w:ascii="宋体" w:hAnsi="宋体" w:cs="宋体"/>
                <w:bCs/>
                <w:iCs/>
                <w:sz w:val="24"/>
                <w:szCs w:val="24"/>
                <w:lang w:val="en-US" w:eastAsia="zh-CN"/>
              </w:rPr>
            </w:pPr>
            <w:r>
              <w:rPr>
                <w:rFonts w:hint="eastAsia" w:ascii="宋体" w:hAnsi="宋体" w:cs="宋体"/>
                <w:bCs/>
                <w:iCs/>
                <w:sz w:val="24"/>
                <w:szCs w:val="24"/>
                <w:lang w:val="en-US" w:eastAsia="zh-CN"/>
              </w:rPr>
              <w:t>董事、副总经理：李胜迎</w:t>
            </w:r>
          </w:p>
          <w:p w14:paraId="795134F3">
            <w:pPr>
              <w:adjustRightInd w:val="0"/>
              <w:snapToGrid w:val="0"/>
              <w:rPr>
                <w:rFonts w:hint="eastAsia" w:ascii="宋体" w:hAnsi="宋体" w:cs="宋体"/>
                <w:bCs/>
                <w:iCs/>
                <w:sz w:val="24"/>
                <w:szCs w:val="24"/>
              </w:rPr>
            </w:pPr>
            <w:r>
              <w:rPr>
                <w:rFonts w:hint="eastAsia" w:ascii="宋体" w:hAnsi="宋体" w:cs="宋体"/>
                <w:bCs/>
                <w:iCs/>
                <w:sz w:val="24"/>
                <w:szCs w:val="24"/>
              </w:rPr>
              <w:t>董事、副总经理、董事会秘书：汤业峰</w:t>
            </w:r>
          </w:p>
          <w:p w14:paraId="5D382401">
            <w:pPr>
              <w:adjustRightInd w:val="0"/>
              <w:snapToGrid w:val="0"/>
              <w:rPr>
                <w:rFonts w:hint="eastAsia" w:ascii="宋体" w:hAnsi="宋体" w:cs="宋体"/>
                <w:bCs/>
                <w:iCs/>
                <w:sz w:val="24"/>
                <w:szCs w:val="24"/>
                <w:lang w:val="en-US" w:eastAsia="zh-CN"/>
              </w:rPr>
            </w:pPr>
            <w:r>
              <w:rPr>
                <w:rFonts w:hint="eastAsia" w:ascii="宋体" w:hAnsi="宋体" w:cs="宋体"/>
                <w:bCs/>
                <w:iCs/>
                <w:sz w:val="24"/>
                <w:szCs w:val="24"/>
                <w:lang w:val="en-US" w:eastAsia="zh-CN"/>
              </w:rPr>
              <w:t>副总经理、研发总监：刘根水</w:t>
            </w:r>
          </w:p>
          <w:p w14:paraId="2A47D600">
            <w:pPr>
              <w:adjustRightInd w:val="0"/>
              <w:snapToGrid w:val="0"/>
              <w:rPr>
                <w:rFonts w:hint="eastAsia" w:ascii="宋体" w:hAnsi="宋体" w:cs="宋体"/>
                <w:bCs/>
                <w:iCs/>
                <w:sz w:val="24"/>
                <w:szCs w:val="24"/>
                <w:lang w:val="en-US" w:eastAsia="zh-CN"/>
              </w:rPr>
            </w:pPr>
            <w:r>
              <w:rPr>
                <w:rFonts w:hint="eastAsia" w:ascii="宋体" w:hAnsi="宋体" w:cs="宋体"/>
                <w:bCs/>
                <w:iCs/>
                <w:sz w:val="24"/>
                <w:szCs w:val="24"/>
                <w:lang w:val="en-US" w:eastAsia="zh-CN"/>
              </w:rPr>
              <w:t>财务总监：顾彬</w:t>
            </w:r>
          </w:p>
          <w:p w14:paraId="47F3074F">
            <w:pPr>
              <w:adjustRightInd w:val="0"/>
              <w:snapToGrid w:val="0"/>
              <w:rPr>
                <w:rFonts w:hint="default" w:ascii="宋体" w:hAnsi="宋体" w:cs="宋体"/>
                <w:bCs/>
                <w:iCs/>
                <w:sz w:val="24"/>
                <w:szCs w:val="24"/>
                <w:lang w:val="en-US" w:eastAsia="zh-CN"/>
              </w:rPr>
            </w:pPr>
            <w:r>
              <w:rPr>
                <w:rFonts w:hint="eastAsia" w:ascii="宋体" w:hAnsi="宋体" w:cs="宋体"/>
                <w:bCs/>
                <w:iCs/>
                <w:sz w:val="24"/>
                <w:szCs w:val="24"/>
                <w:lang w:val="en-US" w:eastAsia="zh-CN"/>
              </w:rPr>
              <w:t>独立董事：钱运华、熊守春、陈晨</w:t>
            </w:r>
          </w:p>
          <w:p w14:paraId="17E1ED58">
            <w:pPr>
              <w:adjustRightInd w:val="0"/>
              <w:snapToGrid w:val="0"/>
              <w:rPr>
                <w:rFonts w:hint="eastAsia" w:ascii="宋体" w:hAnsi="宋体" w:cs="宋体"/>
                <w:bCs/>
                <w:iCs/>
                <w:sz w:val="24"/>
                <w:szCs w:val="24"/>
              </w:rPr>
            </w:pPr>
            <w:r>
              <w:rPr>
                <w:rFonts w:hint="eastAsia" w:ascii="宋体" w:hAnsi="宋体" w:cs="宋体"/>
                <w:bCs/>
                <w:iCs/>
                <w:sz w:val="24"/>
                <w:szCs w:val="24"/>
              </w:rPr>
              <w:t>投资者关系经理</w:t>
            </w:r>
            <w:r>
              <w:rPr>
                <w:rFonts w:hint="eastAsia" w:ascii="宋体" w:hAnsi="宋体" w:cs="宋体"/>
                <w:bCs/>
                <w:iCs/>
                <w:sz w:val="24"/>
                <w:szCs w:val="24"/>
                <w:lang w:eastAsia="zh-CN"/>
              </w:rPr>
              <w:t>、</w:t>
            </w:r>
            <w:r>
              <w:rPr>
                <w:rFonts w:hint="eastAsia" w:ascii="宋体" w:hAnsi="宋体" w:cs="宋体"/>
                <w:bCs/>
                <w:iCs/>
                <w:sz w:val="24"/>
                <w:szCs w:val="24"/>
                <w:lang w:val="en-US" w:eastAsia="zh-CN"/>
              </w:rPr>
              <w:t>证券事务代表</w:t>
            </w:r>
            <w:r>
              <w:rPr>
                <w:rFonts w:hint="eastAsia" w:ascii="宋体" w:hAnsi="宋体" w:cs="宋体"/>
                <w:bCs/>
                <w:iCs/>
                <w:sz w:val="24"/>
                <w:szCs w:val="24"/>
              </w:rPr>
              <w:t>：谢玉鑫</w:t>
            </w:r>
          </w:p>
        </w:tc>
      </w:tr>
      <w:tr w14:paraId="481DC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89" w:type="dxa"/>
            <w:shd w:val="clear" w:color="auto" w:fill="auto"/>
            <w:vAlign w:val="center"/>
          </w:tcPr>
          <w:p w14:paraId="59CD327E">
            <w:pPr>
              <w:adjustRightInd w:val="0"/>
              <w:snapToGrid w:val="0"/>
              <w:jc w:val="center"/>
              <w:rPr>
                <w:rFonts w:hint="eastAsia" w:ascii="宋体" w:hAnsi="宋体" w:cs="宋体"/>
                <w:b/>
                <w:bCs/>
                <w:iCs/>
                <w:sz w:val="24"/>
                <w:szCs w:val="24"/>
              </w:rPr>
            </w:pPr>
            <w:r>
              <w:rPr>
                <w:rFonts w:hint="eastAsia" w:ascii="宋体" w:hAnsi="宋体" w:cs="宋体"/>
                <w:b/>
                <w:bCs/>
                <w:iCs/>
                <w:sz w:val="24"/>
                <w:szCs w:val="24"/>
              </w:rPr>
              <w:t>投资者关系活动主要内容介绍</w:t>
            </w:r>
          </w:p>
        </w:tc>
        <w:tc>
          <w:tcPr>
            <w:tcW w:w="7543" w:type="dxa"/>
            <w:shd w:val="clear" w:color="auto" w:fill="auto"/>
            <w:vAlign w:val="center"/>
          </w:tcPr>
          <w:p w14:paraId="17241748">
            <w:pPr>
              <w:adjustRightInd w:val="0"/>
              <w:snapToGrid w:val="0"/>
              <w:spacing w:line="360" w:lineRule="auto"/>
              <w:ind w:firstLine="482" w:firstLineChars="200"/>
              <w:rPr>
                <w:rFonts w:hint="eastAsia" w:ascii="宋体" w:hAnsi="宋体" w:cs="宋体"/>
                <w:b/>
                <w:iCs/>
                <w:sz w:val="24"/>
                <w:szCs w:val="24"/>
              </w:rPr>
            </w:pPr>
            <w:r>
              <w:rPr>
                <w:rFonts w:hint="eastAsia" w:ascii="宋体" w:hAnsi="宋体" w:cs="宋体"/>
                <w:b/>
                <w:iCs/>
                <w:sz w:val="24"/>
                <w:szCs w:val="24"/>
              </w:rPr>
              <w:t>问题一、</w:t>
            </w:r>
            <w:r>
              <w:rPr>
                <w:rFonts w:hint="eastAsia" w:ascii="宋体" w:hAnsi="宋体" w:eastAsia="宋体" w:cs="宋体"/>
                <w:b/>
                <w:bCs/>
                <w:sz w:val="24"/>
                <w:szCs w:val="32"/>
                <w:lang w:val="en-US" w:eastAsia="zh-CN"/>
              </w:rPr>
              <w:t>公司上半年整体在手订单情况，请结合大分子和小分子订单情况展望下两块业务全年增长趋势</w:t>
            </w:r>
          </w:p>
          <w:p w14:paraId="56ABF2C4">
            <w:pPr>
              <w:adjustRightInd w:val="0"/>
              <w:snapToGrid w:val="0"/>
              <w:spacing w:line="360" w:lineRule="auto"/>
              <w:ind w:firstLine="480" w:firstLineChars="200"/>
              <w:rPr>
                <w:rFonts w:hint="eastAsia" w:ascii="宋体" w:hAnsi="宋体" w:cs="宋体"/>
                <w:bCs/>
                <w:iCs/>
                <w:sz w:val="24"/>
                <w:szCs w:val="24"/>
                <w:lang w:eastAsia="zh-CN"/>
              </w:rPr>
            </w:pPr>
            <w:r>
              <w:rPr>
                <w:rFonts w:hint="eastAsia" w:ascii="宋体" w:hAnsi="宋体" w:cs="宋体"/>
                <w:bCs/>
                <w:iCs/>
                <w:sz w:val="24"/>
                <w:szCs w:val="24"/>
              </w:rPr>
              <w:t>答：上半年的新签订单同比增长20%以上，大小分子新签订单都保持良好的增长势头</w:t>
            </w:r>
            <w:r>
              <w:rPr>
                <w:rFonts w:hint="eastAsia" w:ascii="宋体" w:hAnsi="宋体" w:cs="宋体"/>
                <w:bCs/>
                <w:iCs/>
                <w:sz w:val="24"/>
                <w:szCs w:val="24"/>
                <w:lang w:eastAsia="zh-CN"/>
              </w:rPr>
              <w:t>。</w:t>
            </w:r>
            <w:r>
              <w:rPr>
                <w:rFonts w:hint="eastAsia" w:ascii="宋体" w:hAnsi="宋体" w:cs="宋体"/>
                <w:bCs/>
                <w:iCs/>
                <w:sz w:val="24"/>
                <w:szCs w:val="24"/>
              </w:rPr>
              <w:t>上半年公司大分子及海外业务收入有一定的承压，具体的全年业务收入</w:t>
            </w:r>
            <w:r>
              <w:rPr>
                <w:rFonts w:hint="eastAsia" w:ascii="宋体" w:hAnsi="宋体" w:cs="宋体"/>
                <w:bCs/>
                <w:iCs/>
                <w:sz w:val="24"/>
                <w:szCs w:val="24"/>
                <w:lang w:val="en-US" w:eastAsia="zh-CN"/>
              </w:rPr>
              <w:t>展望</w:t>
            </w:r>
            <w:r>
              <w:rPr>
                <w:rFonts w:hint="eastAsia" w:ascii="宋体" w:hAnsi="宋体" w:cs="宋体"/>
                <w:bCs/>
                <w:iCs/>
                <w:sz w:val="24"/>
                <w:szCs w:val="24"/>
              </w:rPr>
              <w:t>还需依据下半年收入的确认情况来确定</w:t>
            </w:r>
            <w:r>
              <w:rPr>
                <w:rFonts w:hint="eastAsia" w:ascii="宋体" w:hAnsi="宋体" w:cs="宋体"/>
                <w:bCs/>
                <w:iCs/>
                <w:sz w:val="24"/>
                <w:szCs w:val="24"/>
                <w:lang w:eastAsia="zh-CN"/>
              </w:rPr>
              <w:t>。</w:t>
            </w:r>
          </w:p>
          <w:p w14:paraId="4E0C8FBE">
            <w:pPr>
              <w:adjustRightInd w:val="0"/>
              <w:snapToGrid w:val="0"/>
              <w:spacing w:line="360" w:lineRule="auto"/>
              <w:ind w:firstLine="482" w:firstLineChars="200"/>
              <w:rPr>
                <w:rFonts w:hint="default" w:ascii="宋体" w:hAnsi="宋体" w:cs="宋体"/>
                <w:b/>
                <w:iCs/>
                <w:sz w:val="24"/>
                <w:szCs w:val="24"/>
                <w:lang w:val="en-US" w:eastAsia="zh-CN"/>
              </w:rPr>
            </w:pPr>
            <w:r>
              <w:rPr>
                <w:rFonts w:hint="eastAsia" w:ascii="宋体" w:hAnsi="宋体" w:cs="宋体"/>
                <w:b/>
                <w:iCs/>
                <w:sz w:val="24"/>
                <w:szCs w:val="24"/>
                <w:lang w:val="en-US" w:eastAsia="zh-CN"/>
              </w:rPr>
              <w:t>问题二：目前公司各项业务的收入结构情况</w:t>
            </w:r>
          </w:p>
          <w:p w14:paraId="5453903E">
            <w:pPr>
              <w:adjustRightInd w:val="0"/>
              <w:snapToGrid w:val="0"/>
              <w:spacing w:line="360" w:lineRule="auto"/>
              <w:ind w:firstLine="480" w:firstLineChars="200"/>
              <w:rPr>
                <w:rFonts w:hint="eastAsia" w:ascii="宋体" w:hAnsi="宋体" w:cs="宋体"/>
                <w:b w:val="0"/>
                <w:bCs/>
                <w:iCs/>
                <w:sz w:val="24"/>
                <w:szCs w:val="24"/>
                <w:lang w:val="en-US" w:eastAsia="zh-CN"/>
              </w:rPr>
            </w:pPr>
            <w:r>
              <w:rPr>
                <w:rFonts w:hint="eastAsia" w:ascii="宋体" w:hAnsi="宋体" w:cs="宋体"/>
                <w:b w:val="0"/>
                <w:bCs/>
                <w:iCs/>
                <w:sz w:val="24"/>
                <w:szCs w:val="24"/>
                <w:lang w:val="en-US" w:eastAsia="zh-CN"/>
              </w:rPr>
              <w:t>答：上半年，公司实现营业收入34,874万元，归母净利润2,779万元。从收入结构来看，小分子药物分离纯化设备收入24,758万元，大分子药物分离纯化设备收入7,999万元，其他收入2,116万元。从区域方面来看，境内收入31,569万元，境外收入3,304万元。整体而言，得益于公司在小分子市场的领先地位，上半年小分子业务持续领先，保持增长态势，同比增长17.44%。凭借国内较高的客户覆盖度，境内收入同比增长38.93%，上半年大分子及海外收入面临一定承压。</w:t>
            </w:r>
          </w:p>
          <w:p w14:paraId="350255D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iCs/>
                <w:sz w:val="24"/>
                <w:szCs w:val="24"/>
              </w:rPr>
            </w:pPr>
            <w:r>
              <w:rPr>
                <w:rFonts w:hint="eastAsia" w:ascii="宋体" w:hAnsi="宋体" w:cs="宋体"/>
                <w:b/>
                <w:iCs/>
                <w:sz w:val="24"/>
                <w:szCs w:val="24"/>
              </w:rPr>
              <w:t>问题</w:t>
            </w:r>
            <w:r>
              <w:rPr>
                <w:rFonts w:hint="eastAsia" w:ascii="宋体" w:hAnsi="宋体" w:cs="宋体"/>
                <w:b/>
                <w:iCs/>
                <w:sz w:val="24"/>
                <w:szCs w:val="24"/>
                <w:lang w:val="en-US" w:eastAsia="zh-CN"/>
              </w:rPr>
              <w:t>三：</w:t>
            </w:r>
            <w:r>
              <w:rPr>
                <w:rFonts w:hint="eastAsia" w:ascii="宋体" w:hAnsi="宋体" w:eastAsia="宋体" w:cs="宋体"/>
                <w:b/>
                <w:bCs/>
                <w:sz w:val="24"/>
                <w:szCs w:val="32"/>
                <w:lang w:val="en-US" w:eastAsia="zh-CN"/>
              </w:rPr>
              <w:t>公司大小分子毛利率趋势</w:t>
            </w:r>
          </w:p>
          <w:p w14:paraId="03922B86">
            <w:pPr>
              <w:adjustRightInd w:val="0"/>
              <w:snapToGrid w:val="0"/>
              <w:spacing w:line="360" w:lineRule="auto"/>
              <w:ind w:firstLine="480" w:firstLineChars="200"/>
              <w:rPr>
                <w:rFonts w:hint="eastAsia" w:ascii="宋体" w:hAnsi="宋体" w:cs="宋体"/>
                <w:bCs/>
                <w:iCs/>
                <w:sz w:val="24"/>
                <w:szCs w:val="24"/>
              </w:rPr>
            </w:pPr>
            <w:r>
              <w:rPr>
                <w:rFonts w:hint="eastAsia" w:ascii="宋体" w:hAnsi="宋体" w:cs="宋体"/>
                <w:bCs/>
                <w:iCs/>
                <w:sz w:val="24"/>
                <w:szCs w:val="24"/>
              </w:rPr>
              <w:t>答：</w:t>
            </w:r>
            <w:r>
              <w:rPr>
                <w:rFonts w:hint="eastAsia" w:ascii="宋体" w:hAnsi="宋体" w:cs="宋体"/>
                <w:bCs/>
                <w:iCs/>
                <w:sz w:val="24"/>
                <w:szCs w:val="24"/>
                <w:lang w:val="en-US" w:eastAsia="zh-CN"/>
              </w:rPr>
              <w:t>上半年</w:t>
            </w:r>
            <w:r>
              <w:rPr>
                <w:rFonts w:hint="eastAsia" w:ascii="宋体" w:hAnsi="宋体" w:cs="宋体"/>
                <w:bCs/>
                <w:iCs/>
                <w:sz w:val="24"/>
                <w:szCs w:val="24"/>
              </w:rPr>
              <w:t>公司毛利率波动主要系产品收入结构、境内外收入比例变动导致。2024年公司毛利水平较高主要系当期境外收入占比上升至25.88%，且境外客户的毛利率较高，使得2024年毛利率有所上升。公司将通过持续开拓境外市场、加强成本管控等一系列措施以提升整体盈利水平。</w:t>
            </w:r>
          </w:p>
          <w:p w14:paraId="1729FCF8">
            <w:pPr>
              <w:adjustRightInd w:val="0"/>
              <w:snapToGrid w:val="0"/>
              <w:spacing w:line="360" w:lineRule="auto"/>
              <w:ind w:firstLine="482" w:firstLineChars="200"/>
              <w:rPr>
                <w:rFonts w:hint="eastAsia" w:ascii="宋体" w:hAnsi="宋体" w:cs="宋体"/>
                <w:b/>
                <w:iCs/>
                <w:sz w:val="24"/>
                <w:szCs w:val="24"/>
              </w:rPr>
            </w:pPr>
            <w:r>
              <w:rPr>
                <w:rFonts w:hint="eastAsia" w:ascii="宋体" w:hAnsi="宋体" w:cs="宋体"/>
                <w:b/>
                <w:iCs/>
                <w:sz w:val="24"/>
                <w:szCs w:val="24"/>
              </w:rPr>
              <w:t>问题四：公司下游细分领域看，收入及增速、订单景气度判断</w:t>
            </w:r>
          </w:p>
          <w:p w14:paraId="10CEB321">
            <w:pPr>
              <w:adjustRightInd w:val="0"/>
              <w:snapToGrid w:val="0"/>
              <w:spacing w:line="360" w:lineRule="auto"/>
              <w:ind w:firstLine="480" w:firstLineChars="200"/>
              <w:rPr>
                <w:rFonts w:hint="eastAsia" w:ascii="宋体" w:hAnsi="宋体" w:cs="宋体"/>
                <w:bCs/>
                <w:iCs/>
                <w:sz w:val="24"/>
                <w:szCs w:val="24"/>
              </w:rPr>
            </w:pPr>
            <w:r>
              <w:rPr>
                <w:rFonts w:hint="eastAsia" w:ascii="宋体" w:hAnsi="宋体" w:cs="宋体"/>
                <w:bCs/>
                <w:iCs/>
                <w:sz w:val="24"/>
                <w:szCs w:val="24"/>
              </w:rPr>
              <w:t>答：目前生产级液相色谱主要应用于下游场景。从市场空间、增长速度以及厂家的布局建设等方面来看，抗体、胰岛素、疫苗、造影剂、多肽、胶原蛋白在未来</w:t>
            </w:r>
            <w:r>
              <w:rPr>
                <w:rFonts w:hint="eastAsia" w:ascii="宋体" w:hAnsi="宋体" w:cs="宋体"/>
                <w:bCs/>
                <w:iCs/>
                <w:sz w:val="24"/>
                <w:szCs w:val="24"/>
                <w:lang w:val="en-US" w:eastAsia="zh-CN"/>
              </w:rPr>
              <w:t>均能</w:t>
            </w:r>
            <w:r>
              <w:rPr>
                <w:rFonts w:hint="eastAsia" w:ascii="宋体" w:hAnsi="宋体" w:cs="宋体"/>
                <w:bCs/>
                <w:iCs/>
                <w:sz w:val="24"/>
                <w:szCs w:val="24"/>
              </w:rPr>
              <w:t>保持良好的增长态势。</w:t>
            </w:r>
          </w:p>
          <w:p w14:paraId="5DD3264C">
            <w:pPr>
              <w:adjustRightInd w:val="0"/>
              <w:snapToGrid w:val="0"/>
              <w:spacing w:line="360" w:lineRule="auto"/>
              <w:ind w:firstLine="482" w:firstLineChars="200"/>
              <w:rPr>
                <w:rFonts w:hint="eastAsia" w:ascii="宋体" w:hAnsi="宋体" w:cs="宋体"/>
                <w:b/>
                <w:sz w:val="24"/>
                <w:szCs w:val="24"/>
              </w:rPr>
            </w:pPr>
            <w:r>
              <w:rPr>
                <w:rFonts w:hint="eastAsia" w:ascii="宋体" w:hAnsi="宋体" w:cs="宋体"/>
                <w:b/>
                <w:iCs/>
                <w:sz w:val="24"/>
                <w:szCs w:val="24"/>
              </w:rPr>
              <w:t>问题五</w:t>
            </w:r>
            <w:r>
              <w:rPr>
                <w:rFonts w:hint="eastAsia" w:ascii="宋体" w:hAnsi="宋体" w:cs="宋体"/>
                <w:b/>
                <w:iCs/>
                <w:sz w:val="24"/>
                <w:szCs w:val="24"/>
                <w:lang w:eastAsia="zh-CN"/>
              </w:rPr>
              <w:t>：</w:t>
            </w:r>
            <w:r>
              <w:rPr>
                <w:rFonts w:hint="eastAsia" w:ascii="宋体" w:hAnsi="宋体" w:cs="宋体"/>
                <w:b/>
                <w:sz w:val="24"/>
                <w:szCs w:val="24"/>
              </w:rPr>
              <w:t>海外市场开拓中，Intech和其他外销途径的拓展思路</w:t>
            </w:r>
          </w:p>
          <w:p w14:paraId="10C87A98">
            <w:pPr>
              <w:adjustRightInd w:val="0"/>
              <w:snapToGrid w:val="0"/>
              <w:spacing w:line="360" w:lineRule="auto"/>
              <w:ind w:firstLine="480" w:firstLineChars="200"/>
              <w:rPr>
                <w:rFonts w:hint="eastAsia" w:ascii="宋体" w:hAnsi="宋体" w:cs="宋体"/>
                <w:b/>
                <w:iCs/>
                <w:sz w:val="24"/>
                <w:szCs w:val="24"/>
              </w:rPr>
            </w:pPr>
            <w:r>
              <w:rPr>
                <w:rFonts w:hint="eastAsia" w:ascii="宋体" w:hAnsi="宋体" w:cs="宋体"/>
                <w:bCs/>
                <w:iCs/>
                <w:sz w:val="24"/>
                <w:szCs w:val="24"/>
              </w:rPr>
              <w:t>答：公司在海外市场开拓方面，会采取多元化的策略。针对不同市场的特点，策略会有所不同，在欧美等成熟市场，更注重与高端制药企业直接合作，建立联系获取更稳定的订单和更高的利润空间，提供符合其严格标准的高品质产品或定制化解决方案。在东南亚、印度等市场，则更注重性价比和本地化服务，通过与海外分销商或代理商合作快速切入当地市场，同时，逐步和终端客户建立联系以获得更多客户需求信息。另外，市场销售人员积极参与国际行业展会和交流，提升品牌知名度，接触潜在客户。</w:t>
            </w:r>
          </w:p>
          <w:p w14:paraId="7575375D">
            <w:pPr>
              <w:adjustRightInd w:val="0"/>
              <w:snapToGrid w:val="0"/>
              <w:spacing w:line="360" w:lineRule="auto"/>
              <w:ind w:firstLine="482" w:firstLineChars="200"/>
              <w:rPr>
                <w:rFonts w:hint="eastAsia" w:ascii="宋体" w:hAnsi="宋体" w:cs="宋体"/>
                <w:b/>
                <w:iCs/>
                <w:sz w:val="24"/>
                <w:szCs w:val="24"/>
              </w:rPr>
            </w:pPr>
            <w:r>
              <w:rPr>
                <w:rFonts w:hint="eastAsia" w:ascii="宋体" w:hAnsi="宋体" w:cs="宋体"/>
                <w:b/>
                <w:iCs/>
                <w:sz w:val="24"/>
                <w:szCs w:val="24"/>
              </w:rPr>
              <w:t>问题六</w:t>
            </w:r>
            <w:r>
              <w:rPr>
                <w:rFonts w:hint="eastAsia" w:ascii="宋体" w:hAnsi="宋体" w:cs="宋体"/>
                <w:b/>
                <w:iCs/>
                <w:sz w:val="24"/>
                <w:szCs w:val="24"/>
                <w:lang w:eastAsia="zh-CN"/>
              </w:rPr>
              <w:t>：</w:t>
            </w:r>
            <w:r>
              <w:rPr>
                <w:rFonts w:hint="eastAsia" w:ascii="宋体" w:hAnsi="宋体" w:cs="宋体"/>
                <w:b/>
                <w:iCs/>
                <w:sz w:val="24"/>
                <w:szCs w:val="24"/>
              </w:rPr>
              <w:t>目前产能利用率和订单交付周期情况，海外市场订单及开拓展望</w:t>
            </w:r>
          </w:p>
          <w:p w14:paraId="3063FB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32"/>
                <w:lang w:val="en-US" w:eastAsia="zh-CN"/>
              </w:rPr>
            </w:pPr>
            <w:r>
              <w:rPr>
                <w:rFonts w:hint="eastAsia" w:ascii="宋体" w:hAnsi="宋体" w:cs="宋体"/>
                <w:bCs/>
                <w:iCs/>
                <w:sz w:val="24"/>
                <w:szCs w:val="24"/>
              </w:rPr>
              <w:t>答：</w:t>
            </w:r>
            <w:r>
              <w:rPr>
                <w:rFonts w:hint="eastAsia" w:ascii="宋体" w:hAnsi="宋体" w:eastAsia="宋体" w:cs="宋体"/>
                <w:b w:val="0"/>
                <w:bCs w:val="0"/>
                <w:sz w:val="24"/>
                <w:szCs w:val="32"/>
                <w:lang w:val="en-US" w:eastAsia="zh-CN"/>
              </w:rPr>
              <w:t>目前产能利用率处于较高水平；订单周期一般是6-9个月，具体视客户设备规模及客户自身生产计划确定安装调试验收时间。实验室仪器等标准化产品订单周期相对较短。</w:t>
            </w:r>
          </w:p>
          <w:p w14:paraId="5D1190B2">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cs="宋体"/>
                <w:b/>
                <w:iCs/>
                <w:sz w:val="24"/>
                <w:szCs w:val="24"/>
              </w:rPr>
            </w:pPr>
            <w:r>
              <w:rPr>
                <w:rFonts w:hint="eastAsia" w:ascii="宋体" w:hAnsi="宋体" w:eastAsia="宋体" w:cs="宋体"/>
                <w:b w:val="0"/>
                <w:bCs w:val="0"/>
                <w:sz w:val="24"/>
                <w:szCs w:val="32"/>
                <w:lang w:val="en-US" w:eastAsia="zh-CN"/>
              </w:rPr>
              <w:t>公司已提前布局成立国际销售部，已组建了专业的海外销售团队，按不同区域的核心市场划分小组，覆盖了欧洲、北美、南美、亚洲和澳洲。通过参加国外展会、销售拜访、与当地合作伙伴联合推广以及网络推广拓展海外客户。未来，公司将积极开拓海外市场，深入分析不同国家和地区的市场需求与文化差异，制定本地化的营销策略，以提升品牌影响力和市场占有率。公司已在新加坡设立海外子公司，进一步完善海外销售团队建设，推动境外市场销售规模持续提升。</w:t>
            </w:r>
          </w:p>
          <w:p w14:paraId="25EEEA53">
            <w:pPr>
              <w:adjustRightInd w:val="0"/>
              <w:snapToGrid w:val="0"/>
              <w:spacing w:line="360" w:lineRule="auto"/>
              <w:ind w:firstLine="482" w:firstLineChars="200"/>
              <w:rPr>
                <w:rFonts w:hint="eastAsia" w:ascii="宋体" w:hAnsi="宋体" w:cs="宋体"/>
                <w:b/>
                <w:iCs/>
                <w:sz w:val="24"/>
                <w:szCs w:val="24"/>
              </w:rPr>
            </w:pPr>
            <w:r>
              <w:rPr>
                <w:rFonts w:hint="eastAsia" w:ascii="宋体" w:hAnsi="宋体" w:cs="宋体"/>
                <w:b/>
                <w:iCs/>
                <w:sz w:val="24"/>
                <w:szCs w:val="24"/>
              </w:rPr>
              <w:t>问题</w:t>
            </w:r>
            <w:r>
              <w:rPr>
                <w:rFonts w:hint="eastAsia" w:ascii="宋体" w:hAnsi="宋体" w:cs="宋体"/>
                <w:b/>
                <w:iCs/>
                <w:sz w:val="24"/>
                <w:szCs w:val="24"/>
                <w:lang w:val="en-US" w:eastAsia="zh-CN"/>
              </w:rPr>
              <w:t>七：</w:t>
            </w:r>
            <w:r>
              <w:rPr>
                <w:rFonts w:hint="eastAsia" w:ascii="宋体" w:hAnsi="宋体" w:cs="宋体"/>
                <w:b/>
                <w:iCs/>
                <w:sz w:val="24"/>
                <w:szCs w:val="24"/>
              </w:rPr>
              <w:t>公司三费费率的变化趋势展望</w:t>
            </w:r>
          </w:p>
          <w:p w14:paraId="7450FFD7">
            <w:pPr>
              <w:adjustRightInd w:val="0"/>
              <w:snapToGrid w:val="0"/>
              <w:spacing w:line="360" w:lineRule="auto"/>
              <w:ind w:firstLine="480" w:firstLineChars="200"/>
              <w:rPr>
                <w:rFonts w:hint="eastAsia" w:ascii="宋体" w:hAnsi="宋体" w:cs="宋体"/>
                <w:bCs/>
                <w:iCs/>
                <w:sz w:val="24"/>
                <w:szCs w:val="24"/>
              </w:rPr>
            </w:pPr>
            <w:r>
              <w:rPr>
                <w:rFonts w:hint="eastAsia" w:ascii="宋体" w:hAnsi="宋体" w:cs="宋体"/>
                <w:bCs/>
                <w:iCs/>
                <w:sz w:val="24"/>
                <w:szCs w:val="24"/>
              </w:rPr>
              <w:t>答：</w:t>
            </w:r>
            <w:r>
              <w:rPr>
                <w:rFonts w:hint="eastAsia" w:ascii="宋体" w:hAnsi="宋体" w:eastAsia="宋体" w:cs="宋体"/>
                <w:b w:val="0"/>
                <w:bCs w:val="0"/>
                <w:sz w:val="24"/>
                <w:szCs w:val="32"/>
                <w:lang w:val="en-US" w:eastAsia="zh-CN"/>
              </w:rPr>
              <w:t>随着公司销售规模的</w:t>
            </w:r>
            <w:r>
              <w:rPr>
                <w:rFonts w:hint="eastAsia" w:ascii="宋体" w:hAnsi="宋体" w:cs="宋体"/>
                <w:b w:val="0"/>
                <w:bCs w:val="0"/>
                <w:sz w:val="24"/>
                <w:szCs w:val="32"/>
                <w:lang w:val="en-US" w:eastAsia="zh-CN"/>
              </w:rPr>
              <w:t>持续扩大</w:t>
            </w:r>
            <w:r>
              <w:rPr>
                <w:rFonts w:hint="eastAsia" w:ascii="宋体" w:hAnsi="宋体" w:eastAsia="宋体" w:cs="宋体"/>
                <w:b w:val="0"/>
                <w:bCs w:val="0"/>
                <w:sz w:val="24"/>
                <w:szCs w:val="32"/>
                <w:lang w:val="en-US" w:eastAsia="zh-CN"/>
              </w:rPr>
              <w:t>，公司的销售费用、管理费用及研发费用均小幅增长，但占收入的比例逐年小幅下降。</w:t>
            </w:r>
          </w:p>
          <w:p w14:paraId="57685E63">
            <w:pPr>
              <w:adjustRightInd w:val="0"/>
              <w:snapToGrid w:val="0"/>
              <w:spacing w:line="360" w:lineRule="auto"/>
              <w:ind w:firstLine="482" w:firstLineChars="200"/>
              <w:rPr>
                <w:rFonts w:hint="default" w:ascii="宋体" w:hAnsi="宋体" w:eastAsia="宋体" w:cs="宋体"/>
                <w:b/>
                <w:iCs/>
                <w:sz w:val="24"/>
                <w:szCs w:val="24"/>
                <w:lang w:val="en-US" w:eastAsia="zh-CN"/>
              </w:rPr>
            </w:pPr>
            <w:r>
              <w:rPr>
                <w:rFonts w:hint="eastAsia" w:ascii="宋体" w:hAnsi="宋体" w:cs="宋体"/>
                <w:b/>
                <w:iCs/>
                <w:sz w:val="24"/>
                <w:szCs w:val="24"/>
              </w:rPr>
              <w:t>问题八</w:t>
            </w:r>
            <w:r>
              <w:rPr>
                <w:rFonts w:hint="eastAsia" w:ascii="宋体" w:hAnsi="宋体" w:cs="宋体"/>
                <w:b/>
                <w:iCs/>
                <w:sz w:val="24"/>
                <w:szCs w:val="24"/>
                <w:lang w:eastAsia="zh-CN"/>
              </w:rPr>
              <w:t>：公司色谱耗材生产基地目前建设情况？预计什么时间可以投产？色谱耗材，尤其是高精度、高性能填料是有较高技术壁垒的，公司进入这个领域的优势是什么？公司目前开发的色谱填料有哪些特殊的竞争定位？</w:t>
            </w:r>
          </w:p>
          <w:p w14:paraId="3C0684B5">
            <w:pPr>
              <w:adjustRightInd w:val="0"/>
              <w:snapToGrid w:val="0"/>
              <w:spacing w:line="360" w:lineRule="auto"/>
              <w:ind w:firstLine="480" w:firstLineChars="200"/>
              <w:rPr>
                <w:rFonts w:hint="eastAsia" w:ascii="宋体" w:hAnsi="宋体" w:cs="宋体"/>
                <w:bCs/>
                <w:iCs/>
                <w:sz w:val="24"/>
                <w:szCs w:val="24"/>
                <w:highlight w:val="yellow"/>
              </w:rPr>
            </w:pPr>
            <w:r>
              <w:rPr>
                <w:rFonts w:hint="eastAsia" w:ascii="宋体" w:hAnsi="宋体" w:cs="宋体"/>
                <w:bCs/>
                <w:iCs/>
                <w:sz w:val="24"/>
                <w:szCs w:val="24"/>
              </w:rPr>
              <w:t>答：色谱耗材生产基地目前正在建设中，具体投产时间将根据产业化进度以及验收情况来确定。凭借在色谱设备制造领域积累的丰富经验，汉邦科技从设备领域向高附加值填料领域延伸，持续优化系统积累分离工艺参数，能够针对性开发适配客户特定工艺的专用填料，客户黏性也相对较高。目前在研的填料种类有硅胶改性、聚合物基质及改性、琼脂糖基质及改性等，公司会根据产业化进度逐步推向市场。</w:t>
            </w:r>
          </w:p>
          <w:p w14:paraId="0E771870">
            <w:pPr>
              <w:adjustRightInd w:val="0"/>
              <w:snapToGrid w:val="0"/>
              <w:spacing w:line="360" w:lineRule="auto"/>
              <w:ind w:firstLine="482" w:firstLineChars="200"/>
              <w:rPr>
                <w:rFonts w:hint="eastAsia" w:ascii="宋体" w:hAnsi="宋体" w:cs="宋体"/>
                <w:b/>
                <w:iCs/>
                <w:sz w:val="24"/>
                <w:szCs w:val="24"/>
              </w:rPr>
            </w:pPr>
            <w:r>
              <w:rPr>
                <w:rFonts w:hint="eastAsia" w:ascii="宋体" w:hAnsi="宋体" w:cs="宋体"/>
                <w:b/>
                <w:iCs/>
                <w:sz w:val="24"/>
                <w:szCs w:val="24"/>
              </w:rPr>
              <w:t>问题九：国内行业竞争对手的变化情况</w:t>
            </w:r>
          </w:p>
          <w:p w14:paraId="232361C9">
            <w:pPr>
              <w:adjustRightInd w:val="0"/>
              <w:snapToGrid w:val="0"/>
              <w:spacing w:line="360" w:lineRule="auto"/>
              <w:ind w:firstLine="480" w:firstLineChars="200"/>
              <w:rPr>
                <w:rFonts w:hint="eastAsia" w:ascii="宋体" w:hAnsi="宋体" w:cs="宋体"/>
                <w:bCs/>
                <w:iCs/>
                <w:sz w:val="24"/>
                <w:szCs w:val="24"/>
              </w:rPr>
            </w:pPr>
            <w:r>
              <w:rPr>
                <w:rFonts w:hint="eastAsia" w:ascii="宋体" w:hAnsi="宋体" w:cs="宋体"/>
                <w:bCs/>
                <w:iCs/>
                <w:sz w:val="24"/>
                <w:szCs w:val="24"/>
              </w:rPr>
              <w:t>答：</w:t>
            </w:r>
            <w:r>
              <w:rPr>
                <w:rFonts w:hint="eastAsia" w:ascii="宋体" w:hAnsi="宋体" w:eastAsia="宋体" w:cs="宋体"/>
                <w:b w:val="0"/>
                <w:bCs w:val="0"/>
                <w:sz w:val="24"/>
                <w:szCs w:val="32"/>
                <w:lang w:val="en-US" w:eastAsia="zh-CN"/>
              </w:rPr>
              <w:t>目前尚未出现新的主要竞争对手，主要原因在于工业制备色谱行业已形成较高的行业壁垒。制药装备行业本身属于技术密集型领域，涉及制药工艺、机械制造、自动化控制以及工艺开发等相关技术。公司自身已积累了极为丰富的研发与制造经验，拥有众多知识产权，在技术和经验方面具备显著优势。</w:t>
            </w:r>
          </w:p>
          <w:p w14:paraId="5CD30E0D">
            <w:pPr>
              <w:adjustRightInd w:val="0"/>
              <w:snapToGrid w:val="0"/>
              <w:spacing w:line="360" w:lineRule="auto"/>
              <w:ind w:firstLine="482" w:firstLineChars="200"/>
              <w:rPr>
                <w:rFonts w:hint="eastAsia" w:ascii="宋体" w:hAnsi="宋体" w:eastAsia="宋体" w:cs="宋体"/>
                <w:b/>
                <w:iCs/>
                <w:sz w:val="24"/>
                <w:szCs w:val="24"/>
                <w:lang w:eastAsia="zh-CN"/>
              </w:rPr>
            </w:pPr>
            <w:r>
              <w:rPr>
                <w:rFonts w:hint="eastAsia" w:ascii="宋体" w:hAnsi="宋体" w:cs="宋体"/>
                <w:b/>
                <w:iCs/>
                <w:sz w:val="24"/>
                <w:szCs w:val="24"/>
              </w:rPr>
              <w:t>问题</w:t>
            </w:r>
            <w:r>
              <w:rPr>
                <w:rFonts w:hint="eastAsia" w:ascii="宋体" w:hAnsi="宋体" w:cs="宋体"/>
                <w:b/>
                <w:iCs/>
                <w:sz w:val="24"/>
                <w:szCs w:val="24"/>
                <w:lang w:val="en-US" w:eastAsia="zh-CN"/>
              </w:rPr>
              <w:t>十</w:t>
            </w:r>
            <w:r>
              <w:rPr>
                <w:rFonts w:hint="eastAsia" w:ascii="宋体" w:hAnsi="宋体" w:cs="宋体"/>
                <w:b/>
                <w:iCs/>
                <w:sz w:val="24"/>
                <w:szCs w:val="24"/>
                <w:lang w:eastAsia="zh-CN"/>
              </w:rPr>
              <w:t>：公司目前稀土纯化业务占比大概多少，稀土纯化景气度判断及客户情况</w:t>
            </w:r>
          </w:p>
          <w:p w14:paraId="7B77B2BA">
            <w:pPr>
              <w:adjustRightInd w:val="0"/>
              <w:snapToGrid w:val="0"/>
              <w:spacing w:line="360" w:lineRule="auto"/>
              <w:ind w:firstLine="480" w:firstLineChars="200"/>
              <w:rPr>
                <w:rFonts w:hint="eastAsia" w:ascii="宋体" w:hAnsi="宋体" w:cs="宋体"/>
                <w:bCs/>
                <w:iCs/>
                <w:sz w:val="24"/>
                <w:szCs w:val="24"/>
              </w:rPr>
            </w:pPr>
            <w:r>
              <w:rPr>
                <w:rFonts w:hint="eastAsia" w:ascii="宋体" w:hAnsi="宋体" w:cs="宋体"/>
                <w:bCs/>
                <w:iCs/>
                <w:sz w:val="24"/>
                <w:szCs w:val="24"/>
              </w:rPr>
              <w:t>答：</w:t>
            </w:r>
            <w:r>
              <w:rPr>
                <w:rFonts w:hint="eastAsia" w:ascii="宋体" w:hAnsi="宋体" w:eastAsia="宋体" w:cs="宋体"/>
                <w:b w:val="0"/>
                <w:bCs w:val="0"/>
                <w:sz w:val="24"/>
                <w:szCs w:val="32"/>
                <w:lang w:val="en-US" w:eastAsia="zh-CN"/>
              </w:rPr>
              <w:t>公司已进入稀土冶炼领域的客户供应链，具体的稀土纯化业务收入占比较低。</w:t>
            </w:r>
            <w:r>
              <w:rPr>
                <w:rFonts w:hint="eastAsia" w:ascii="宋体" w:hAnsi="宋体" w:cs="宋体"/>
                <w:bCs/>
                <w:iCs/>
                <w:sz w:val="24"/>
                <w:szCs w:val="24"/>
              </w:rPr>
              <w:t>公司始终关注不同应用领域的发展趋势，积极探索与主营业务协同的创新机遇。未来，公司将持续聚焦主业，深化技术创新与市场拓展，为市场和客户持续提供优质的产品与技术服务，努力提升经营业绩。</w:t>
            </w:r>
          </w:p>
          <w:p w14:paraId="179EA757">
            <w:pPr>
              <w:adjustRightInd w:val="0"/>
              <w:snapToGrid w:val="0"/>
              <w:spacing w:line="360" w:lineRule="auto"/>
              <w:ind w:firstLine="482" w:firstLineChars="200"/>
              <w:rPr>
                <w:rFonts w:hint="eastAsia" w:ascii="宋体" w:hAnsi="宋体" w:cs="宋体"/>
                <w:b/>
                <w:iCs/>
                <w:sz w:val="24"/>
                <w:szCs w:val="24"/>
                <w:highlight w:val="none"/>
                <w:lang w:eastAsia="zh-CN"/>
              </w:rPr>
            </w:pPr>
            <w:r>
              <w:rPr>
                <w:rFonts w:hint="eastAsia" w:ascii="宋体" w:hAnsi="宋体" w:cs="宋体"/>
                <w:b/>
                <w:iCs/>
                <w:sz w:val="24"/>
                <w:szCs w:val="24"/>
                <w:highlight w:val="none"/>
              </w:rPr>
              <w:t>问题</w:t>
            </w:r>
            <w:r>
              <w:rPr>
                <w:rFonts w:hint="eastAsia" w:ascii="宋体" w:hAnsi="宋体" w:cs="宋体"/>
                <w:b/>
                <w:iCs/>
                <w:sz w:val="24"/>
                <w:szCs w:val="24"/>
                <w:highlight w:val="none"/>
                <w:lang w:val="en-US" w:eastAsia="zh-CN"/>
              </w:rPr>
              <w:t>十一：</w:t>
            </w:r>
            <w:r>
              <w:rPr>
                <w:rFonts w:hint="eastAsia" w:ascii="宋体" w:hAnsi="宋体" w:cs="宋体"/>
                <w:b/>
                <w:iCs/>
                <w:sz w:val="24"/>
                <w:szCs w:val="24"/>
                <w:highlight w:val="none"/>
                <w:lang w:eastAsia="zh-CN"/>
              </w:rPr>
              <w:t>公司研发团队配置情况，</w:t>
            </w:r>
            <w:r>
              <w:rPr>
                <w:rFonts w:hint="eastAsia" w:ascii="宋体" w:hAnsi="宋体" w:cs="宋体"/>
                <w:b/>
                <w:iCs/>
                <w:sz w:val="24"/>
                <w:szCs w:val="24"/>
                <w:highlight w:val="none"/>
                <w:lang w:val="en-US" w:eastAsia="zh-CN"/>
              </w:rPr>
              <w:t>如何持续引进研发人才</w:t>
            </w:r>
            <w:r>
              <w:rPr>
                <w:rFonts w:hint="eastAsia" w:ascii="宋体" w:hAnsi="宋体" w:cs="宋体"/>
                <w:b/>
                <w:iCs/>
                <w:sz w:val="24"/>
                <w:szCs w:val="24"/>
                <w:highlight w:val="none"/>
                <w:lang w:eastAsia="zh-CN"/>
              </w:rPr>
              <w:t>？</w:t>
            </w:r>
          </w:p>
          <w:p w14:paraId="2F66E85C">
            <w:pPr>
              <w:adjustRightInd w:val="0"/>
              <w:snapToGrid w:val="0"/>
              <w:spacing w:line="360" w:lineRule="auto"/>
              <w:ind w:firstLine="480" w:firstLineChars="200"/>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答：截至2025年上半年，公司研发人员1</w:t>
            </w:r>
            <w:r>
              <w:rPr>
                <w:rFonts w:hint="eastAsia" w:ascii="宋体" w:hAnsi="宋体" w:cs="宋体"/>
                <w:b w:val="0"/>
                <w:bCs w:val="0"/>
                <w:sz w:val="24"/>
                <w:szCs w:val="32"/>
                <w:lang w:val="en-US" w:eastAsia="zh-CN"/>
              </w:rPr>
              <w:t>38</w:t>
            </w:r>
            <w:r>
              <w:rPr>
                <w:rFonts w:hint="eastAsia" w:ascii="宋体" w:hAnsi="宋体" w:eastAsia="宋体" w:cs="宋体"/>
                <w:b w:val="0"/>
                <w:bCs w:val="0"/>
                <w:sz w:val="24"/>
                <w:szCs w:val="32"/>
                <w:lang w:val="en-US" w:eastAsia="zh-CN"/>
              </w:rPr>
              <w:t>人，占公司员工总数的</w:t>
            </w:r>
            <w:r>
              <w:rPr>
                <w:rFonts w:hint="eastAsia" w:ascii="宋体" w:hAnsi="宋体" w:cs="宋体"/>
                <w:b w:val="0"/>
                <w:bCs w:val="0"/>
                <w:sz w:val="24"/>
                <w:szCs w:val="32"/>
                <w:lang w:val="en-US" w:eastAsia="zh-CN"/>
              </w:rPr>
              <w:t>20.03</w:t>
            </w:r>
            <w:r>
              <w:rPr>
                <w:rFonts w:hint="eastAsia" w:ascii="宋体" w:hAnsi="宋体" w:eastAsia="宋体" w:cs="宋体"/>
                <w:b w:val="0"/>
                <w:bCs w:val="0"/>
                <w:sz w:val="24"/>
                <w:szCs w:val="32"/>
                <w:lang w:val="en-US" w:eastAsia="zh-CN"/>
              </w:rPr>
              <w:t>%。其中，</w:t>
            </w:r>
            <w:r>
              <w:rPr>
                <w:rFonts w:hint="eastAsia" w:ascii="宋体" w:hAnsi="宋体" w:cs="宋体"/>
                <w:b w:val="0"/>
                <w:bCs w:val="0"/>
                <w:sz w:val="24"/>
                <w:szCs w:val="32"/>
                <w:lang w:val="en-US" w:eastAsia="zh-CN"/>
              </w:rPr>
              <w:t>博士5人，</w:t>
            </w:r>
            <w:r>
              <w:rPr>
                <w:rFonts w:hint="eastAsia" w:ascii="宋体" w:hAnsi="宋体" w:eastAsia="宋体" w:cs="宋体"/>
                <w:b w:val="0"/>
                <w:bCs w:val="0"/>
                <w:sz w:val="24"/>
                <w:szCs w:val="32"/>
                <w:lang w:val="en-US" w:eastAsia="zh-CN"/>
              </w:rPr>
              <w:t>硕士及以上学历占比</w:t>
            </w:r>
            <w:r>
              <w:rPr>
                <w:rFonts w:hint="eastAsia" w:ascii="宋体" w:hAnsi="宋体" w:cs="宋体"/>
                <w:b w:val="0"/>
                <w:bCs w:val="0"/>
                <w:sz w:val="24"/>
                <w:szCs w:val="32"/>
                <w:lang w:val="en-US" w:eastAsia="zh-CN"/>
              </w:rPr>
              <w:t>27.53%</w:t>
            </w:r>
            <w:r>
              <w:rPr>
                <w:rFonts w:hint="eastAsia" w:ascii="宋体" w:hAnsi="宋体" w:eastAsia="宋体" w:cs="宋体"/>
                <w:b w:val="0"/>
                <w:bCs w:val="0"/>
                <w:sz w:val="24"/>
                <w:szCs w:val="32"/>
                <w:lang w:val="en-US" w:eastAsia="zh-CN"/>
              </w:rPr>
              <w:t>，本科及以上占比</w:t>
            </w:r>
            <w:r>
              <w:rPr>
                <w:rFonts w:hint="eastAsia" w:ascii="宋体" w:hAnsi="宋体" w:cs="宋体"/>
                <w:b w:val="0"/>
                <w:bCs w:val="0"/>
                <w:sz w:val="24"/>
                <w:szCs w:val="32"/>
                <w:lang w:val="en-US" w:eastAsia="zh-CN"/>
              </w:rPr>
              <w:t>94.20</w:t>
            </w:r>
            <w:r>
              <w:rPr>
                <w:rFonts w:hint="eastAsia" w:ascii="宋体" w:hAnsi="宋体" w:eastAsia="宋体" w:cs="宋体"/>
                <w:b w:val="0"/>
                <w:bCs w:val="0"/>
                <w:sz w:val="24"/>
                <w:szCs w:val="32"/>
                <w:lang w:val="en-US" w:eastAsia="zh-CN"/>
              </w:rPr>
              <w:t>%。</w:t>
            </w:r>
            <w:r>
              <w:rPr>
                <w:rFonts w:hint="eastAsia" w:ascii="宋体" w:hAnsi="宋体" w:cs="宋体"/>
                <w:b w:val="0"/>
                <w:bCs w:val="0"/>
                <w:sz w:val="24"/>
                <w:szCs w:val="32"/>
                <w:lang w:val="en-US" w:eastAsia="zh-CN"/>
              </w:rPr>
              <w:t>公司</w:t>
            </w:r>
            <w:r>
              <w:rPr>
                <w:rFonts w:hint="eastAsia" w:ascii="宋体" w:hAnsi="宋体" w:eastAsia="宋体" w:cs="宋体"/>
                <w:b w:val="0"/>
                <w:bCs w:val="0"/>
                <w:sz w:val="24"/>
                <w:szCs w:val="32"/>
                <w:lang w:val="en-US" w:eastAsia="zh-CN"/>
              </w:rPr>
              <w:t>通过加强研发人员的内部培养和外部培训，不断引进高层次研发和管理人才，并采用多种激励方式提高研发人员积极性和创新能力。通过以上人才引进和培养策略，</w:t>
            </w:r>
            <w:r>
              <w:rPr>
                <w:rFonts w:hint="eastAsia" w:ascii="宋体" w:hAnsi="宋体" w:cs="宋体"/>
                <w:b w:val="0"/>
                <w:bCs w:val="0"/>
                <w:sz w:val="24"/>
                <w:szCs w:val="32"/>
                <w:lang w:val="en-US" w:eastAsia="zh-CN"/>
              </w:rPr>
              <w:t>公司</w:t>
            </w:r>
            <w:r>
              <w:rPr>
                <w:rFonts w:hint="eastAsia" w:ascii="宋体" w:hAnsi="宋体" w:eastAsia="宋体" w:cs="宋体"/>
                <w:b w:val="0"/>
                <w:bCs w:val="0"/>
                <w:sz w:val="24"/>
                <w:szCs w:val="32"/>
                <w:lang w:val="en-US" w:eastAsia="zh-CN"/>
              </w:rPr>
              <w:t>已建立一支由高端技术人才领军、以自主培养员工为核心的中高层管理团队和以一大批资深研发人员为骨干力量的研发团队。</w:t>
            </w:r>
          </w:p>
          <w:p w14:paraId="4F10419E">
            <w:pPr>
              <w:adjustRightInd w:val="0"/>
              <w:snapToGrid w:val="0"/>
              <w:spacing w:line="360" w:lineRule="auto"/>
              <w:ind w:firstLine="482" w:firstLineChars="200"/>
              <w:rPr>
                <w:rFonts w:hint="eastAsia" w:ascii="宋体" w:hAnsi="宋体" w:cs="宋体"/>
                <w:b/>
                <w:iCs/>
                <w:sz w:val="24"/>
                <w:szCs w:val="24"/>
                <w:lang w:val="en-US" w:eastAsia="zh-CN"/>
              </w:rPr>
            </w:pPr>
            <w:r>
              <w:rPr>
                <w:rFonts w:hint="eastAsia" w:ascii="宋体" w:hAnsi="宋体" w:cs="宋体"/>
                <w:b/>
                <w:iCs/>
                <w:sz w:val="24"/>
                <w:szCs w:val="24"/>
                <w:highlight w:val="none"/>
                <w:lang w:val="en-US" w:eastAsia="zh-CN"/>
              </w:rPr>
              <w:t>问题十二：</w:t>
            </w:r>
            <w:r>
              <w:rPr>
                <w:rFonts w:hint="eastAsia" w:ascii="宋体" w:hAnsi="宋体" w:cs="宋体"/>
                <w:b/>
                <w:iCs/>
                <w:sz w:val="24"/>
                <w:szCs w:val="24"/>
                <w:lang w:val="en-US" w:eastAsia="zh-CN"/>
              </w:rPr>
              <w:t>公司在客户拓展方面有哪些优势？</w:t>
            </w:r>
          </w:p>
          <w:p w14:paraId="1D1F55CB">
            <w:pPr>
              <w:adjustRightInd w:val="0"/>
              <w:snapToGrid w:val="0"/>
              <w:spacing w:line="360" w:lineRule="auto"/>
              <w:ind w:firstLine="480" w:firstLineChars="200"/>
              <w:rPr>
                <w:rFonts w:hint="eastAsia" w:ascii="宋体" w:hAnsi="宋体" w:cs="宋体"/>
                <w:b/>
                <w:iCs/>
                <w:sz w:val="24"/>
                <w:szCs w:val="24"/>
                <w:lang w:val="en-US" w:eastAsia="zh-CN"/>
              </w:rPr>
            </w:pPr>
            <w:r>
              <w:rPr>
                <w:rFonts w:hint="eastAsia" w:ascii="宋体" w:hAnsi="宋体" w:eastAsia="宋体" w:cs="宋体"/>
                <w:b w:val="0"/>
                <w:bCs w:val="0"/>
                <w:sz w:val="24"/>
                <w:szCs w:val="32"/>
                <w:lang w:val="en-US" w:eastAsia="zh-CN"/>
              </w:rPr>
              <w:t>答：公司通过技术突破和工艺积累，开发具有核心自主知识产权的先进工艺设备，在小分子和大分子分离纯化设备领域均形成一定产品优势，为客户提供更丰富的产品和方案选择。在潜在临床需求大、市场增长快速的创新生物药品种，如抗体偶联药物、核酸药物、口服胰岛素及用于减肥用途和糖尿病治疗的多肽类似物等的原料药生产中，需要综合使用色谱系统、层析系统、超滤系统、在线配液系统、核酸合成仪等多种设备。公司充分发挥齐全的产品线优势，不断增强基础制造能力，增强系统设计、集成、交付能力，并利用长期积累的纯化工艺技术和经验积极为客户提供针对性、定制化解决方案服务，满足客户个性化需求，提升竞争壁垒和客户黏性。</w:t>
            </w:r>
          </w:p>
          <w:p w14:paraId="4264AD40">
            <w:pPr>
              <w:adjustRightInd w:val="0"/>
              <w:snapToGrid w:val="0"/>
              <w:spacing w:line="360" w:lineRule="auto"/>
              <w:ind w:firstLine="482" w:firstLineChars="200"/>
              <w:rPr>
                <w:rFonts w:hint="default" w:ascii="宋体" w:hAnsi="宋体" w:cs="宋体"/>
                <w:b/>
                <w:iCs/>
                <w:sz w:val="24"/>
                <w:szCs w:val="24"/>
                <w:lang w:val="en-US" w:eastAsia="zh-CN"/>
              </w:rPr>
            </w:pPr>
            <w:r>
              <w:rPr>
                <w:rFonts w:hint="eastAsia" w:ascii="宋体" w:hAnsi="宋体" w:cs="宋体"/>
                <w:b/>
                <w:iCs/>
                <w:sz w:val="24"/>
                <w:szCs w:val="24"/>
                <w:highlight w:val="none"/>
                <w:lang w:val="en-US" w:eastAsia="zh-CN"/>
              </w:rPr>
              <w:t>问题十三：</w:t>
            </w:r>
            <w:r>
              <w:rPr>
                <w:rFonts w:hint="eastAsia" w:ascii="宋体" w:hAnsi="宋体" w:cs="宋体"/>
                <w:b/>
                <w:iCs/>
                <w:sz w:val="24"/>
                <w:szCs w:val="24"/>
                <w:lang w:val="en-US" w:eastAsia="zh-CN"/>
              </w:rPr>
              <w:t>公司在小核酸药物领域的布局情况</w:t>
            </w:r>
          </w:p>
          <w:p w14:paraId="10396F86">
            <w:pPr>
              <w:adjustRightInd w:val="0"/>
              <w:snapToGrid w:val="0"/>
              <w:spacing w:line="360" w:lineRule="auto"/>
              <w:ind w:firstLine="480" w:firstLineChars="200"/>
              <w:rPr>
                <w:rFonts w:hint="eastAsia" w:ascii="宋体" w:hAnsi="宋体" w:cs="宋体"/>
                <w:b w:val="0"/>
                <w:bCs/>
                <w:iCs/>
                <w:sz w:val="24"/>
                <w:szCs w:val="24"/>
                <w:lang w:val="en-US" w:eastAsia="zh-CN"/>
              </w:rPr>
            </w:pPr>
            <w:r>
              <w:rPr>
                <w:rFonts w:hint="eastAsia" w:ascii="宋体" w:hAnsi="宋体" w:cs="宋体"/>
                <w:bCs/>
                <w:iCs/>
                <w:sz w:val="24"/>
                <w:szCs w:val="24"/>
              </w:rPr>
              <w:t>答：</w:t>
            </w:r>
            <w:r>
              <w:rPr>
                <w:rFonts w:hint="eastAsia" w:ascii="宋体" w:hAnsi="宋体" w:cs="宋体"/>
                <w:b w:val="0"/>
                <w:bCs/>
                <w:iCs/>
                <w:sz w:val="24"/>
                <w:szCs w:val="24"/>
                <w:lang w:val="en-US" w:eastAsia="zh-CN"/>
              </w:rPr>
              <w:t>公司可为客户提供涵盖核酸合成系统、层析系统、制备液相系统及切向流过滤系统在内的完整产品组合，全面支持从基础研究、工艺开发到规模化生产的各个环节。公司产品线可满足从实验室级别探索、中试工艺放大到工业级生产的全方位需求，凭借稳定可靠的系统性能和灵活可扩展的配置方案，为小核酸药物从早期研发到商业化生产全流程提供坚实的技术支撑与解决方案。</w:t>
            </w:r>
          </w:p>
          <w:p w14:paraId="40C817EB">
            <w:pPr>
              <w:adjustRightInd w:val="0"/>
              <w:snapToGrid w:val="0"/>
              <w:spacing w:line="360" w:lineRule="auto"/>
              <w:ind w:firstLine="482" w:firstLineChars="200"/>
              <w:rPr>
                <w:rFonts w:hint="eastAsia" w:ascii="宋体" w:hAnsi="宋体" w:cs="宋体"/>
                <w:b/>
                <w:iCs/>
                <w:sz w:val="24"/>
                <w:szCs w:val="24"/>
                <w:lang w:val="en-US" w:eastAsia="zh-CN"/>
              </w:rPr>
            </w:pPr>
            <w:r>
              <w:rPr>
                <w:rFonts w:hint="eastAsia" w:ascii="宋体" w:hAnsi="宋体" w:cs="宋体"/>
                <w:b/>
                <w:iCs/>
                <w:sz w:val="24"/>
                <w:szCs w:val="24"/>
                <w:highlight w:val="none"/>
                <w:lang w:val="en-US" w:eastAsia="zh-CN"/>
              </w:rPr>
              <w:t>问题十四：</w:t>
            </w:r>
            <w:r>
              <w:rPr>
                <w:rFonts w:hint="eastAsia" w:ascii="宋体" w:hAnsi="宋体" w:cs="宋体"/>
                <w:b/>
                <w:iCs/>
                <w:sz w:val="24"/>
                <w:szCs w:val="24"/>
                <w:lang w:val="en-US" w:eastAsia="zh-CN"/>
              </w:rPr>
              <w:t>公司是否布局HPV疫苗领域</w:t>
            </w:r>
          </w:p>
          <w:p w14:paraId="204432FC">
            <w:pPr>
              <w:adjustRightInd w:val="0"/>
              <w:snapToGrid w:val="0"/>
              <w:spacing w:line="360" w:lineRule="auto"/>
              <w:ind w:firstLine="480" w:firstLineChars="200"/>
              <w:rPr>
                <w:rFonts w:hint="eastAsia" w:ascii="宋体" w:hAnsi="宋体" w:cs="宋体"/>
                <w:b/>
                <w:iCs/>
                <w:sz w:val="24"/>
                <w:szCs w:val="24"/>
                <w:lang w:val="en-US" w:eastAsia="zh-CN"/>
              </w:rPr>
            </w:pPr>
            <w:r>
              <w:rPr>
                <w:rFonts w:hint="eastAsia" w:ascii="宋体" w:hAnsi="宋体" w:cs="宋体"/>
                <w:bCs/>
                <w:iCs/>
                <w:sz w:val="24"/>
                <w:szCs w:val="24"/>
              </w:rPr>
              <w:t>答：在HPV疫苗生产的精密链条中，分离纯化环节至关重要</w:t>
            </w:r>
            <w:r>
              <w:rPr>
                <w:rFonts w:hint="eastAsia" w:ascii="宋体" w:hAnsi="宋体" w:cs="宋体"/>
                <w:bCs/>
                <w:iCs/>
                <w:sz w:val="24"/>
                <w:szCs w:val="24"/>
                <w:lang w:eastAsia="zh-CN"/>
              </w:rPr>
              <w:t>，</w:t>
            </w:r>
            <w:r>
              <w:rPr>
                <w:rFonts w:hint="eastAsia" w:ascii="宋体" w:hAnsi="宋体" w:cs="宋体"/>
                <w:bCs/>
                <w:iCs/>
                <w:sz w:val="24"/>
                <w:szCs w:val="24"/>
              </w:rPr>
              <w:t>直接决定了疫苗的纯度、效价和安全性，更是大规模稳定供应的关键瓶颈</w:t>
            </w:r>
            <w:r>
              <w:rPr>
                <w:rFonts w:hint="eastAsia" w:ascii="宋体" w:hAnsi="宋体" w:cs="宋体"/>
                <w:bCs/>
                <w:iCs/>
                <w:sz w:val="24"/>
                <w:szCs w:val="24"/>
                <w:lang w:eastAsia="zh-CN"/>
              </w:rPr>
              <w:t>。</w:t>
            </w:r>
            <w:r>
              <w:rPr>
                <w:rFonts w:hint="eastAsia" w:ascii="宋体" w:hAnsi="宋体" w:cs="宋体"/>
                <w:bCs/>
                <w:iCs/>
                <w:sz w:val="24"/>
                <w:szCs w:val="24"/>
                <w:lang w:val="en-US" w:eastAsia="zh-CN"/>
              </w:rPr>
              <w:t>针</w:t>
            </w:r>
            <w:r>
              <w:rPr>
                <w:rFonts w:hint="eastAsia" w:ascii="宋体" w:hAnsi="宋体" w:cs="宋体"/>
                <w:bCs/>
                <w:iCs/>
                <w:sz w:val="24"/>
                <w:szCs w:val="24"/>
                <w:lang w:eastAsia="zh-CN"/>
              </w:rPr>
              <w:t>对国内HPV疫苗生产的核心需求，</w:t>
            </w:r>
            <w:r>
              <w:rPr>
                <w:rFonts w:hint="eastAsia" w:ascii="宋体" w:hAnsi="宋体" w:cs="宋体"/>
                <w:bCs/>
                <w:iCs/>
                <w:sz w:val="24"/>
                <w:szCs w:val="24"/>
                <w:lang w:val="en-US" w:eastAsia="zh-CN"/>
              </w:rPr>
              <w:t>公司可</w:t>
            </w:r>
            <w:r>
              <w:rPr>
                <w:rFonts w:hint="eastAsia" w:ascii="宋体" w:hAnsi="宋体" w:cs="宋体"/>
                <w:bCs/>
                <w:iCs/>
                <w:sz w:val="24"/>
                <w:szCs w:val="24"/>
                <w:lang w:eastAsia="zh-CN"/>
              </w:rPr>
              <w:t>提供覆盖下游工艺关键环节的设备解决方案，</w:t>
            </w:r>
            <w:r>
              <w:rPr>
                <w:rFonts w:hint="eastAsia" w:ascii="宋体" w:hAnsi="宋体" w:cs="宋体"/>
                <w:bCs/>
                <w:iCs/>
                <w:sz w:val="24"/>
                <w:szCs w:val="24"/>
                <w:lang w:val="en-US" w:eastAsia="zh-CN"/>
              </w:rPr>
              <w:t>包括层析系统和层析柱（如Bio-Pro层析系统和ACC自动轴向压缩层析柱）、超滤系统（Bio-TFF自动切向流过滤系统）及除病毒过滤系统等核心设备，着力解决HPV疫苗纯化过程中的实际瓶颈问题，显著提升产物回收率、工艺效率及生产稳健性，为加速HPV疫苗的本土化研发与规模化生产提供关键技术支撑。</w:t>
            </w:r>
          </w:p>
          <w:p w14:paraId="0B624207">
            <w:pPr>
              <w:adjustRightInd w:val="0"/>
              <w:snapToGrid w:val="0"/>
              <w:spacing w:line="360" w:lineRule="auto"/>
              <w:ind w:firstLine="482" w:firstLineChars="200"/>
              <w:rPr>
                <w:rFonts w:hint="eastAsia" w:ascii="宋体" w:hAnsi="宋体" w:cs="宋体"/>
                <w:b/>
                <w:bCs w:val="0"/>
                <w:iCs/>
                <w:sz w:val="24"/>
                <w:szCs w:val="24"/>
                <w:lang w:val="en-US" w:eastAsia="zh-CN"/>
              </w:rPr>
            </w:pPr>
            <w:r>
              <w:rPr>
                <w:rFonts w:hint="eastAsia" w:ascii="宋体" w:hAnsi="宋体" w:cs="宋体"/>
                <w:b/>
                <w:bCs w:val="0"/>
                <w:iCs/>
                <w:sz w:val="24"/>
                <w:szCs w:val="24"/>
                <w:highlight w:val="none"/>
                <w:lang w:val="en-US" w:eastAsia="zh-CN"/>
              </w:rPr>
              <w:t>问题十五：</w:t>
            </w:r>
            <w:r>
              <w:rPr>
                <w:rFonts w:hint="eastAsia" w:ascii="宋体" w:hAnsi="宋体" w:cs="宋体"/>
                <w:b/>
                <w:bCs w:val="0"/>
                <w:iCs/>
                <w:sz w:val="24"/>
                <w:szCs w:val="24"/>
                <w:lang w:val="en-US" w:eastAsia="zh-CN"/>
              </w:rPr>
              <w:t>公司上半年在研项目有哪些进展？</w:t>
            </w:r>
          </w:p>
          <w:p w14:paraId="515BD5F0">
            <w:pPr>
              <w:adjustRightInd w:val="0"/>
              <w:snapToGrid w:val="0"/>
              <w:spacing w:line="360" w:lineRule="auto"/>
              <w:ind w:firstLine="480" w:firstLineChars="200"/>
              <w:rPr>
                <w:rFonts w:hint="eastAsia" w:ascii="宋体" w:hAnsi="宋体" w:cs="宋体"/>
                <w:b/>
                <w:iCs/>
                <w:sz w:val="24"/>
                <w:szCs w:val="24"/>
                <w:lang w:val="en-US" w:eastAsia="zh-CN"/>
              </w:rPr>
            </w:pPr>
            <w:r>
              <w:rPr>
                <w:rFonts w:hint="eastAsia" w:ascii="宋体" w:hAnsi="宋体" w:cs="宋体"/>
                <w:b w:val="0"/>
                <w:bCs/>
                <w:iCs/>
                <w:sz w:val="24"/>
                <w:szCs w:val="24"/>
                <w:lang w:val="en-US" w:eastAsia="zh-CN"/>
              </w:rPr>
              <w:t>答：在研项目方面，公司紧密围绕核心战略方向，聚焦色谱填料、分离纯化设备与工艺开发这三大重点领域，持续推动技术创新与产品迭代。在核酸药物合成与纯化设备、多肽药物合成与纯化设备领域，不断推进技术优化与系统集成，增强在生物制药尖端领域的配套能力和整体解决方案的实力；在超高效液相色谱仪领域，致力于提升仪器性能和可靠性，丰富产品组合，以满足高端市场需求；在色谱填料开发方面，持续加强新型基质材料、表面化学修饰技术的研发，提高产品分离效率和使用寿命；在应用工艺开发方面，积极布局下游工艺方法开发与放大研究，为客户提供从分析方法开发到规模化生产的全流程技术支持，助力客户提升研发和生产效率。</w:t>
            </w:r>
          </w:p>
          <w:p w14:paraId="1C501C04">
            <w:pPr>
              <w:adjustRightInd w:val="0"/>
              <w:snapToGrid w:val="0"/>
              <w:spacing w:line="360" w:lineRule="auto"/>
              <w:ind w:firstLine="482" w:firstLineChars="200"/>
              <w:rPr>
                <w:rFonts w:hint="eastAsia" w:ascii="宋体" w:hAnsi="宋体" w:cs="宋体"/>
                <w:b/>
                <w:iCs/>
                <w:sz w:val="24"/>
                <w:szCs w:val="24"/>
                <w:lang w:val="en-US" w:eastAsia="zh-CN"/>
              </w:rPr>
            </w:pPr>
            <w:r>
              <w:rPr>
                <w:rFonts w:hint="eastAsia" w:ascii="宋体" w:hAnsi="宋体" w:cs="宋体"/>
                <w:b/>
                <w:iCs/>
                <w:sz w:val="24"/>
                <w:szCs w:val="24"/>
                <w:highlight w:val="none"/>
                <w:lang w:val="en-US" w:eastAsia="zh-CN"/>
              </w:rPr>
              <w:t>问题十六：</w:t>
            </w:r>
            <w:r>
              <w:rPr>
                <w:rFonts w:hint="eastAsia" w:ascii="宋体" w:hAnsi="宋体" w:cs="宋体"/>
                <w:b/>
                <w:iCs/>
                <w:sz w:val="24"/>
                <w:szCs w:val="24"/>
                <w:lang w:val="en-US" w:eastAsia="zh-CN"/>
              </w:rPr>
              <w:t>公司如何看实验室仪器未来的增长潜力</w:t>
            </w:r>
          </w:p>
          <w:p w14:paraId="16A6FA8A">
            <w:pPr>
              <w:adjustRightInd w:val="0"/>
              <w:snapToGrid w:val="0"/>
              <w:spacing w:line="360" w:lineRule="auto"/>
              <w:ind w:firstLine="480" w:firstLineChars="200"/>
              <w:rPr>
                <w:rFonts w:hint="eastAsia" w:ascii="宋体" w:hAnsi="宋体" w:cs="宋体"/>
                <w:b/>
                <w:iCs/>
                <w:sz w:val="24"/>
                <w:szCs w:val="24"/>
                <w:lang w:val="en-US" w:eastAsia="zh-CN"/>
              </w:rPr>
            </w:pPr>
            <w:r>
              <w:rPr>
                <w:rFonts w:hint="eastAsia" w:ascii="宋体" w:hAnsi="宋体" w:cs="宋体"/>
                <w:b w:val="0"/>
                <w:bCs/>
                <w:iCs/>
                <w:sz w:val="24"/>
                <w:szCs w:val="24"/>
                <w:lang w:val="en-US" w:eastAsia="zh-CN"/>
              </w:rPr>
              <w:t>答：国内实验室市场长期由安捷伦、赛默飞等国际巨头主导，政策驱动下替代空间巨大。公司通过不断提升的研发能力、丰富的产品线组合方案，以及灵活且合理的赛道选择，有助于我们在当前市场竞争环境下，寻找到较为优质的市场机会，</w:t>
            </w:r>
            <w:r>
              <w:rPr>
                <w:rFonts w:hint="eastAsia" w:ascii="宋体" w:hAnsi="宋体" w:eastAsia="宋体" w:cs="宋体"/>
                <w:sz w:val="24"/>
                <w:szCs w:val="32"/>
                <w:highlight w:val="none"/>
                <w:lang w:val="en-US" w:eastAsia="zh-CN"/>
              </w:rPr>
              <w:t>借力国产替代政策机遇，会逐步在中高端市场打开新局面</w:t>
            </w:r>
            <w:r>
              <w:rPr>
                <w:rFonts w:hint="eastAsia" w:ascii="宋体" w:hAnsi="宋体" w:cs="宋体"/>
                <w:sz w:val="24"/>
                <w:szCs w:val="32"/>
                <w:highlight w:val="none"/>
                <w:lang w:val="en-US" w:eastAsia="zh-CN"/>
              </w:rPr>
              <w:t>。</w:t>
            </w:r>
            <w:r>
              <w:rPr>
                <w:rFonts w:hint="eastAsia" w:ascii="宋体" w:hAnsi="宋体" w:cs="宋体"/>
                <w:b w:val="0"/>
                <w:bCs/>
                <w:iCs/>
                <w:sz w:val="24"/>
                <w:szCs w:val="24"/>
                <w:lang w:val="en-US" w:eastAsia="zh-CN"/>
              </w:rPr>
              <w:t>同时，实验室仪器作为后端工业装备的触角，能够率先触及公司的用户群体，提前培育新一代客户群体。</w:t>
            </w:r>
          </w:p>
          <w:p w14:paraId="74C06E19">
            <w:pPr>
              <w:adjustRightInd w:val="0"/>
              <w:snapToGrid w:val="0"/>
              <w:spacing w:line="360" w:lineRule="auto"/>
              <w:ind w:firstLine="482" w:firstLineChars="200"/>
              <w:rPr>
                <w:rFonts w:hint="eastAsia" w:ascii="宋体" w:hAnsi="宋体" w:cs="宋体"/>
                <w:b/>
                <w:iCs/>
                <w:sz w:val="24"/>
                <w:szCs w:val="24"/>
                <w:lang w:val="en-US" w:eastAsia="zh-CN"/>
              </w:rPr>
            </w:pPr>
            <w:r>
              <w:rPr>
                <w:rFonts w:hint="eastAsia" w:ascii="宋体" w:hAnsi="宋体" w:cs="宋体"/>
                <w:b/>
                <w:iCs/>
                <w:sz w:val="24"/>
                <w:szCs w:val="24"/>
                <w:highlight w:val="none"/>
                <w:lang w:val="en-US" w:eastAsia="zh-CN"/>
              </w:rPr>
              <w:t>问题十七：</w:t>
            </w:r>
            <w:r>
              <w:rPr>
                <w:rFonts w:hint="eastAsia" w:ascii="宋体" w:hAnsi="宋体" w:cs="宋体"/>
                <w:b/>
                <w:iCs/>
                <w:sz w:val="24"/>
                <w:szCs w:val="24"/>
                <w:lang w:val="en-US" w:eastAsia="zh-CN"/>
              </w:rPr>
              <w:t>公司如何看待小分子业务未来的发展</w:t>
            </w:r>
          </w:p>
          <w:p w14:paraId="7EC207DC">
            <w:pPr>
              <w:adjustRightInd w:val="0"/>
              <w:snapToGrid w:val="0"/>
              <w:spacing w:line="360" w:lineRule="auto"/>
              <w:ind w:firstLine="480" w:firstLineChars="200"/>
              <w:rPr>
                <w:rFonts w:hint="eastAsia" w:ascii="宋体" w:hAnsi="宋体" w:cs="宋体"/>
                <w:b w:val="0"/>
                <w:bCs/>
                <w:iCs/>
                <w:sz w:val="24"/>
                <w:szCs w:val="24"/>
                <w:lang w:val="en-US" w:eastAsia="zh-CN"/>
              </w:rPr>
            </w:pPr>
            <w:r>
              <w:rPr>
                <w:rFonts w:hint="eastAsia" w:ascii="宋体" w:hAnsi="宋体" w:cs="宋体"/>
                <w:b w:val="0"/>
                <w:bCs/>
                <w:iCs/>
                <w:sz w:val="24"/>
                <w:szCs w:val="24"/>
                <w:lang w:val="en-US" w:eastAsia="zh-CN"/>
              </w:rPr>
              <w:t>答：小分子和大分子药物分离纯化设备是公司的基石业务，2025年上半年收入占比达93.9%（小分子业务收入2.48亿元，同比增长17.44%；大分子业务收入近8,000万元）。凭借国内领先的市场份额（小分子液相色谱系统2023年市占率39.2%）与持续拓展的应用场景，业务展现出强劲韧性。从增长驱动来看，一方面，大小分子市场未来仍将保持稳步增长。公司大小分子业务不依赖单一领域景气度，下游覆盖抗体、胰岛素、多肽等多元化药物研发，具备较强稳定性；另一方面，公司正积极切入胶原蛋白、核酸类药物等新兴领域，同时募投项目“年产1000台液相色谱系列分离装备”稳步推进，将进一步拓展应用空间、提升交付能力，为业务持续增长提供有力保障。</w:t>
            </w:r>
          </w:p>
          <w:p w14:paraId="1D6F9598">
            <w:pPr>
              <w:adjustRightInd w:val="0"/>
              <w:snapToGrid w:val="0"/>
              <w:spacing w:line="360" w:lineRule="auto"/>
              <w:ind w:firstLine="482" w:firstLineChars="200"/>
              <w:rPr>
                <w:rFonts w:hint="eastAsia" w:ascii="宋体" w:hAnsi="宋体" w:cs="宋体"/>
                <w:b/>
                <w:bCs w:val="0"/>
                <w:iCs/>
                <w:sz w:val="24"/>
                <w:szCs w:val="24"/>
                <w:lang w:val="en-US" w:eastAsia="zh-CN"/>
              </w:rPr>
            </w:pPr>
            <w:r>
              <w:rPr>
                <w:rFonts w:hint="eastAsia" w:ascii="宋体" w:hAnsi="宋体" w:cs="宋体"/>
                <w:b/>
                <w:iCs/>
                <w:sz w:val="24"/>
                <w:szCs w:val="24"/>
                <w:lang w:val="en-US" w:eastAsia="zh-CN"/>
              </w:rPr>
              <w:t>问题十八：</w:t>
            </w:r>
            <w:r>
              <w:rPr>
                <w:rFonts w:hint="eastAsia" w:ascii="宋体" w:hAnsi="宋体" w:cs="宋体"/>
                <w:b/>
                <w:bCs w:val="0"/>
                <w:iCs/>
                <w:sz w:val="24"/>
                <w:szCs w:val="24"/>
                <w:lang w:val="en-US" w:eastAsia="zh-CN"/>
              </w:rPr>
              <w:t>您好，一众国际国内巨头都在印度市场遭遇了诚信滑铁卢，因此国内企业对于在印度市场开展业务非常谨慎，请问，公司采取了哪些措施以保证印度业务的正常、可持续开展？</w:t>
            </w:r>
          </w:p>
          <w:p w14:paraId="0A36F0D4">
            <w:pPr>
              <w:adjustRightInd w:val="0"/>
              <w:snapToGrid w:val="0"/>
              <w:spacing w:line="360" w:lineRule="auto"/>
              <w:ind w:firstLine="480" w:firstLineChars="200"/>
              <w:rPr>
                <w:rFonts w:hint="default" w:ascii="宋体" w:hAnsi="宋体" w:cs="宋体"/>
                <w:bCs/>
                <w:iCs/>
                <w:sz w:val="24"/>
                <w:szCs w:val="24"/>
                <w:lang w:val="en-US" w:eastAsia="zh-CN"/>
              </w:rPr>
            </w:pPr>
            <w:r>
              <w:rPr>
                <w:rFonts w:hint="eastAsia" w:ascii="宋体" w:hAnsi="宋体" w:cs="宋体"/>
                <w:bCs/>
                <w:iCs/>
                <w:sz w:val="24"/>
                <w:szCs w:val="24"/>
                <w:lang w:val="en-US" w:eastAsia="zh-CN"/>
              </w:rPr>
              <w:t>答：公司致力于推进全球化战略，与目标国家优质的本地企业、行业协会及商会构建战略合作伙伴关系，借助其本地资源与网络，旨在高效打通业务渠道。</w:t>
            </w:r>
          </w:p>
          <w:p w14:paraId="36A79338">
            <w:pPr>
              <w:adjustRightInd w:val="0"/>
              <w:snapToGrid w:val="0"/>
              <w:spacing w:line="360" w:lineRule="auto"/>
              <w:ind w:firstLine="482" w:firstLineChars="200"/>
              <w:rPr>
                <w:rFonts w:hint="eastAsia" w:ascii="宋体" w:hAnsi="宋体" w:cs="宋体"/>
                <w:b/>
                <w:iCs/>
                <w:sz w:val="24"/>
                <w:szCs w:val="24"/>
                <w:lang w:val="en-US" w:eastAsia="zh-CN"/>
              </w:rPr>
            </w:pPr>
            <w:r>
              <w:rPr>
                <w:rFonts w:hint="eastAsia" w:ascii="宋体" w:hAnsi="宋体" w:cs="宋体"/>
                <w:b/>
                <w:iCs/>
                <w:sz w:val="24"/>
                <w:szCs w:val="24"/>
                <w:lang w:val="en-US" w:eastAsia="zh-CN"/>
              </w:rPr>
              <w:t>问题十九：国家“十四五”生物经济规划明确支持高端装备制造，公司是否已获得相关政策补贴或项目支持？</w:t>
            </w:r>
          </w:p>
          <w:p w14:paraId="5C791858">
            <w:pPr>
              <w:adjustRightInd w:val="0"/>
              <w:snapToGrid w:val="0"/>
              <w:spacing w:line="360" w:lineRule="auto"/>
              <w:ind w:firstLine="480" w:firstLineChars="200"/>
              <w:rPr>
                <w:rFonts w:hint="eastAsia" w:ascii="宋体" w:hAnsi="宋体" w:cs="宋体"/>
                <w:b w:val="0"/>
                <w:bCs/>
                <w:iCs/>
                <w:sz w:val="24"/>
                <w:szCs w:val="24"/>
                <w:lang w:val="en-US" w:eastAsia="zh-CN"/>
              </w:rPr>
            </w:pPr>
            <w:r>
              <w:rPr>
                <w:rFonts w:hint="eastAsia" w:ascii="宋体" w:hAnsi="宋体" w:cs="宋体"/>
                <w:b w:val="0"/>
                <w:bCs/>
                <w:iCs/>
                <w:sz w:val="24"/>
                <w:szCs w:val="24"/>
                <w:lang w:val="en-US" w:eastAsia="zh-CN"/>
              </w:rPr>
              <w:t>答：国家“十四五”生物经济规划出台后，公司获得两项重要政策支持：一是国家第二批重点“小巨人”企业奖补资金支持，二是产品入选“江苏省关键核心技术（装备）工程化攻关项目”。</w:t>
            </w:r>
          </w:p>
          <w:p w14:paraId="2198AB62">
            <w:pPr>
              <w:adjustRightInd w:val="0"/>
              <w:snapToGrid w:val="0"/>
              <w:spacing w:line="360" w:lineRule="auto"/>
              <w:ind w:firstLine="482" w:firstLineChars="200"/>
              <w:rPr>
                <w:rFonts w:hint="eastAsia" w:ascii="宋体" w:hAnsi="宋体" w:cs="宋体"/>
                <w:bCs/>
                <w:iCs/>
                <w:sz w:val="24"/>
                <w:szCs w:val="24"/>
                <w:lang w:val="en-US" w:eastAsia="zh-CN"/>
              </w:rPr>
            </w:pPr>
            <w:r>
              <w:rPr>
                <w:rFonts w:hint="eastAsia" w:ascii="宋体" w:hAnsi="宋体" w:cs="宋体"/>
                <w:b/>
                <w:iCs/>
                <w:sz w:val="24"/>
                <w:szCs w:val="24"/>
                <w:lang w:val="en-US" w:eastAsia="zh-CN"/>
              </w:rPr>
              <w:t>问题二十：公司在连续色谱分离技术上的优势，是否帮助客户降低了生产成本？</w:t>
            </w:r>
          </w:p>
          <w:p w14:paraId="2E15AE42">
            <w:pPr>
              <w:adjustRightInd w:val="0"/>
              <w:snapToGrid w:val="0"/>
              <w:spacing w:line="360" w:lineRule="auto"/>
              <w:ind w:firstLine="480" w:firstLineChars="200"/>
              <w:rPr>
                <w:rFonts w:hint="eastAsia" w:ascii="宋体" w:hAnsi="宋体" w:cs="宋体"/>
                <w:bCs/>
                <w:iCs/>
                <w:sz w:val="24"/>
                <w:szCs w:val="24"/>
                <w:lang w:val="en-US" w:eastAsia="zh-CN"/>
              </w:rPr>
            </w:pPr>
            <w:r>
              <w:rPr>
                <w:rFonts w:hint="eastAsia" w:ascii="宋体" w:hAnsi="宋体" w:cs="宋体"/>
                <w:b w:val="0"/>
                <w:bCs/>
                <w:iCs/>
                <w:sz w:val="24"/>
                <w:szCs w:val="24"/>
                <w:lang w:val="en-US" w:eastAsia="zh-CN"/>
              </w:rPr>
              <w:t>答：公司自主研制的模拟移动床色谱系统（使用连续色谱分离技术）是具有技术特色的新型色谱设备，与传统单柱的液相色谱设备相比，具有周期短、固定相利用率高、流动相使用量少、自动化连续操作等特点，可降低客户的生产成本。</w:t>
            </w:r>
          </w:p>
          <w:p w14:paraId="320FEA2F">
            <w:pPr>
              <w:adjustRightInd w:val="0"/>
              <w:snapToGrid w:val="0"/>
              <w:spacing w:line="360" w:lineRule="auto"/>
              <w:ind w:firstLine="482" w:firstLineChars="200"/>
              <w:rPr>
                <w:rFonts w:hint="eastAsia" w:ascii="宋体" w:hAnsi="宋体" w:cs="宋体"/>
                <w:bCs/>
                <w:iCs/>
                <w:sz w:val="24"/>
                <w:szCs w:val="24"/>
                <w:lang w:val="en-US" w:eastAsia="zh-CN"/>
              </w:rPr>
            </w:pPr>
            <w:r>
              <w:rPr>
                <w:rFonts w:hint="eastAsia" w:ascii="宋体" w:hAnsi="宋体" w:cs="宋体"/>
                <w:b/>
                <w:iCs/>
                <w:sz w:val="24"/>
                <w:szCs w:val="24"/>
                <w:lang w:val="en-US" w:eastAsia="zh-CN"/>
              </w:rPr>
              <w:t>问题二十一：公司募投项目基地预计何时投产？</w:t>
            </w:r>
          </w:p>
          <w:p w14:paraId="72627B43">
            <w:pPr>
              <w:adjustRightInd w:val="0"/>
              <w:snapToGrid w:val="0"/>
              <w:spacing w:line="360" w:lineRule="auto"/>
              <w:ind w:firstLine="480" w:firstLineChars="200"/>
              <w:rPr>
                <w:rFonts w:hint="eastAsia" w:ascii="宋体" w:hAnsi="宋体" w:cs="宋体"/>
                <w:bCs/>
                <w:iCs/>
                <w:sz w:val="24"/>
                <w:szCs w:val="24"/>
                <w:lang w:val="en-US" w:eastAsia="zh-CN"/>
              </w:rPr>
            </w:pPr>
            <w:r>
              <w:rPr>
                <w:rFonts w:hint="eastAsia" w:ascii="宋体" w:hAnsi="宋体" w:cs="宋体"/>
                <w:b w:val="0"/>
                <w:bCs/>
                <w:iCs/>
                <w:sz w:val="24"/>
                <w:szCs w:val="24"/>
                <w:lang w:val="en-US" w:eastAsia="zh-CN"/>
              </w:rPr>
              <w:t>答：</w:t>
            </w:r>
            <w:r>
              <w:rPr>
                <w:rFonts w:hint="eastAsia" w:ascii="宋体" w:hAnsi="宋体" w:cs="宋体"/>
                <w:bCs/>
                <w:iCs/>
                <w:sz w:val="24"/>
                <w:szCs w:val="24"/>
                <w:lang w:val="en-US" w:eastAsia="zh-CN"/>
              </w:rPr>
              <w:t>公司全资子公司汉凰科技的“年产2000台（套）实验室色谱分离纯化仪器生产项目”预计2026年6月底投产，主要生产实验室系列产品。公司新建的“年产1000台液相色谱系列分离装备生产项目”预计2027年底投产，主要用于生产级液相色谱系统产品的生产。</w:t>
            </w:r>
          </w:p>
          <w:p w14:paraId="097CAA1B">
            <w:pPr>
              <w:adjustRightInd w:val="0"/>
              <w:snapToGrid w:val="0"/>
              <w:spacing w:line="360" w:lineRule="auto"/>
              <w:ind w:firstLine="482" w:firstLineChars="200"/>
              <w:rPr>
                <w:rFonts w:hint="eastAsia" w:ascii="宋体" w:hAnsi="宋体" w:cs="宋体"/>
                <w:b/>
                <w:iCs/>
                <w:sz w:val="24"/>
                <w:szCs w:val="24"/>
                <w:lang w:val="en-US" w:eastAsia="zh-CN"/>
              </w:rPr>
            </w:pPr>
            <w:r>
              <w:rPr>
                <w:rFonts w:hint="eastAsia" w:ascii="宋体" w:hAnsi="宋体" w:cs="宋体"/>
                <w:b/>
                <w:iCs/>
                <w:sz w:val="24"/>
                <w:szCs w:val="24"/>
                <w:lang w:val="en-US" w:eastAsia="zh-CN"/>
              </w:rPr>
              <w:t>问题二十二：您好，从往年财务数据看，公司下半年营收明显优于上半年，请问主要原因是什么？</w:t>
            </w:r>
          </w:p>
          <w:p w14:paraId="5902145E">
            <w:pPr>
              <w:adjustRightInd w:val="0"/>
              <w:snapToGrid w:val="0"/>
              <w:spacing w:line="360" w:lineRule="auto"/>
              <w:ind w:firstLine="480" w:firstLineChars="200"/>
              <w:rPr>
                <w:rFonts w:hint="eastAsia" w:ascii="宋体" w:hAnsi="宋体" w:cs="宋体"/>
                <w:b w:val="0"/>
                <w:bCs/>
                <w:iCs/>
                <w:sz w:val="24"/>
                <w:szCs w:val="24"/>
                <w:lang w:val="en-US" w:eastAsia="zh-CN"/>
              </w:rPr>
            </w:pPr>
            <w:r>
              <w:rPr>
                <w:rFonts w:hint="eastAsia" w:ascii="宋体" w:hAnsi="宋体" w:cs="宋体"/>
                <w:b w:val="0"/>
                <w:bCs/>
                <w:iCs/>
                <w:sz w:val="24"/>
                <w:szCs w:val="24"/>
                <w:lang w:val="en-US" w:eastAsia="zh-CN"/>
              </w:rPr>
              <w:t>答：公司收入不存在明显的季节性特征，公司订单的获取与收入的实现，主要与客户的采购需求以及客户自身的工艺验证和产线规划节奏相关。</w:t>
            </w:r>
            <w:bookmarkStart w:id="0" w:name="_GoBack"/>
            <w:bookmarkEnd w:id="0"/>
          </w:p>
          <w:p w14:paraId="5CC2CA64">
            <w:pPr>
              <w:adjustRightInd w:val="0"/>
              <w:snapToGrid w:val="0"/>
              <w:spacing w:line="360" w:lineRule="auto"/>
              <w:ind w:firstLine="482" w:firstLineChars="200"/>
              <w:rPr>
                <w:rFonts w:hint="eastAsia" w:ascii="宋体" w:hAnsi="宋体" w:cs="宋体"/>
                <w:bCs/>
                <w:iCs/>
                <w:sz w:val="24"/>
                <w:szCs w:val="24"/>
                <w:lang w:val="en-US" w:eastAsia="zh-CN"/>
              </w:rPr>
            </w:pPr>
            <w:r>
              <w:rPr>
                <w:rFonts w:hint="eastAsia" w:ascii="宋体" w:hAnsi="宋体" w:cs="宋体"/>
                <w:b/>
                <w:iCs/>
                <w:sz w:val="24"/>
                <w:szCs w:val="24"/>
                <w:lang w:val="en-US" w:eastAsia="zh-CN"/>
              </w:rPr>
              <w:t>问题二十三：您好，从公开信息看，公司正呈现制备色谱、实验室色谱、色谱耗材三驾马车并肩发展的格局，可否介绍一下公司实验室色谱基地和色谱耗材基地的进展情况？</w:t>
            </w:r>
          </w:p>
          <w:p w14:paraId="77434983">
            <w:pPr>
              <w:adjustRightInd w:val="0"/>
              <w:snapToGrid w:val="0"/>
              <w:spacing w:line="360" w:lineRule="auto"/>
              <w:ind w:firstLine="480" w:firstLineChars="200"/>
              <w:rPr>
                <w:rFonts w:hint="eastAsia" w:ascii="宋体" w:hAnsi="宋体" w:cs="宋体"/>
                <w:b/>
                <w:iCs/>
                <w:sz w:val="24"/>
                <w:szCs w:val="24"/>
                <w:lang w:val="en-US" w:eastAsia="zh-CN"/>
              </w:rPr>
            </w:pPr>
            <w:r>
              <w:rPr>
                <w:rFonts w:hint="eastAsia" w:ascii="宋体" w:hAnsi="宋体" w:cs="宋体"/>
                <w:b w:val="0"/>
                <w:bCs/>
                <w:iCs/>
                <w:sz w:val="24"/>
                <w:szCs w:val="24"/>
                <w:lang w:val="en-US" w:eastAsia="zh-CN"/>
              </w:rPr>
              <w:t>答：全资子公司汉凰科技的“年产2000台（套）实验室色谱分离纯化仪器生产项目”预计2026年6月底投产，全资子公司汉德科技的“年产1700吨生物医药分离介质及1000吨高价值提取物项目”产业化基地正在建设，后续建设进展敬请关注公司的定期报告。</w:t>
            </w:r>
          </w:p>
          <w:p w14:paraId="6D78BBC4">
            <w:pPr>
              <w:adjustRightInd w:val="0"/>
              <w:snapToGrid w:val="0"/>
              <w:spacing w:line="360" w:lineRule="auto"/>
              <w:ind w:firstLine="482" w:firstLineChars="200"/>
              <w:rPr>
                <w:rFonts w:hint="eastAsia" w:ascii="宋体" w:hAnsi="宋体" w:cs="宋体"/>
                <w:bCs/>
                <w:iCs/>
                <w:sz w:val="24"/>
                <w:szCs w:val="24"/>
                <w:lang w:val="en-US" w:eastAsia="zh-CN"/>
              </w:rPr>
            </w:pPr>
            <w:r>
              <w:rPr>
                <w:rFonts w:hint="eastAsia" w:ascii="宋体" w:hAnsi="宋体" w:cs="宋体"/>
                <w:b/>
                <w:iCs/>
                <w:sz w:val="24"/>
                <w:szCs w:val="24"/>
                <w:lang w:val="en-US" w:eastAsia="zh-CN"/>
              </w:rPr>
              <w:t>问题二十四：您好，色谱分离提纯设备被称为制药领域的“芯片”，直接决定着药品生产的效率和品质，长期被海外巨头把持和垄断，公司的横空出世打破了这一局面，因此也招来了海外巨头的敌视和打压，频频对公司发起专利战。目前公司在面临的几项专利诉讼中都处于有利局面，但可以想象，以后这样的遭遇将不在少数，请问，公司对此有何预案或措施？</w:t>
            </w:r>
          </w:p>
          <w:p w14:paraId="06BDFAA3">
            <w:pPr>
              <w:adjustRightInd w:val="0"/>
              <w:snapToGrid w:val="0"/>
              <w:spacing w:line="360" w:lineRule="auto"/>
              <w:ind w:firstLine="480" w:firstLineChars="200"/>
              <w:rPr>
                <w:rFonts w:hint="eastAsia" w:ascii="宋体" w:hAnsi="宋体" w:cs="宋体"/>
                <w:bCs/>
                <w:iCs/>
                <w:sz w:val="24"/>
                <w:szCs w:val="24"/>
                <w:lang w:val="en-US" w:eastAsia="zh-CN"/>
              </w:rPr>
            </w:pPr>
            <w:r>
              <w:rPr>
                <w:rFonts w:hint="eastAsia" w:ascii="宋体" w:hAnsi="宋体" w:cs="宋体"/>
                <w:b w:val="0"/>
                <w:bCs/>
                <w:iCs/>
                <w:sz w:val="24"/>
                <w:szCs w:val="24"/>
                <w:lang w:val="en-US" w:eastAsia="zh-CN"/>
              </w:rPr>
              <w:t>答：</w:t>
            </w:r>
            <w:r>
              <w:rPr>
                <w:rFonts w:hint="eastAsia" w:ascii="宋体" w:hAnsi="宋体" w:cs="宋体"/>
                <w:bCs/>
                <w:iCs/>
                <w:sz w:val="24"/>
                <w:szCs w:val="24"/>
                <w:lang w:val="en-US" w:eastAsia="zh-CN"/>
              </w:rPr>
              <w:t>公司将知识产权管理深度嵌入研发流程。在研发项目立项前，公司会进行目标产品及市场的专利风险排查，清晰了解新产品的专利布局，识别风险专利。其次，在新产品上市前，公司以其核心技术为支点，进行系统化的专利布局，形成知识产权壁垒，最大化保障新产品的市场竞争力。</w:t>
            </w:r>
          </w:p>
        </w:tc>
      </w:tr>
      <w:tr w14:paraId="04CD2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989" w:type="dxa"/>
            <w:shd w:val="clear" w:color="auto" w:fill="auto"/>
            <w:vAlign w:val="center"/>
          </w:tcPr>
          <w:p w14:paraId="5E7E9B30">
            <w:pPr>
              <w:adjustRightInd w:val="0"/>
              <w:snapToGrid w:val="0"/>
              <w:jc w:val="center"/>
              <w:rPr>
                <w:rFonts w:hint="eastAsia" w:ascii="宋体" w:hAnsi="宋体" w:cs="宋体"/>
                <w:b/>
                <w:bCs/>
                <w:iCs/>
                <w:sz w:val="24"/>
                <w:szCs w:val="24"/>
              </w:rPr>
            </w:pPr>
            <w:r>
              <w:rPr>
                <w:rFonts w:hint="eastAsia" w:ascii="宋体" w:hAnsi="宋体" w:cs="宋体"/>
                <w:b/>
                <w:bCs/>
                <w:iCs/>
                <w:sz w:val="24"/>
                <w:szCs w:val="24"/>
              </w:rPr>
              <w:t>风险提示及说明</w:t>
            </w:r>
          </w:p>
        </w:tc>
        <w:tc>
          <w:tcPr>
            <w:tcW w:w="7543" w:type="dxa"/>
            <w:shd w:val="clear" w:color="auto" w:fill="auto"/>
            <w:vAlign w:val="center"/>
          </w:tcPr>
          <w:p w14:paraId="5F9382E5">
            <w:pPr>
              <w:adjustRightInd w:val="0"/>
              <w:snapToGrid w:val="0"/>
              <w:spacing w:line="360" w:lineRule="auto"/>
              <w:ind w:firstLine="480" w:firstLineChars="200"/>
              <w:rPr>
                <w:rFonts w:hint="eastAsia" w:ascii="宋体" w:hAnsi="宋体" w:cs="宋体"/>
                <w:bCs/>
                <w:iCs/>
                <w:sz w:val="24"/>
                <w:szCs w:val="24"/>
              </w:rPr>
            </w:pPr>
            <w:r>
              <w:rPr>
                <w:rFonts w:hint="eastAsia" w:ascii="宋体" w:hAnsi="宋体" w:cs="宋体"/>
                <w:bCs/>
                <w:iCs/>
                <w:sz w:val="24"/>
                <w:szCs w:val="24"/>
              </w:rPr>
              <w:t>以上如涉及对行业的预测、公司发展规划等相关内容，不代表公司或公司管理层对行业、公司发展或业绩的盈利预测和承诺，不构成公司对投资者的实质性承诺，敬请广大投资者注意投资风险。</w:t>
            </w:r>
          </w:p>
          <w:p w14:paraId="6E673CE7">
            <w:pPr>
              <w:adjustRightInd w:val="0"/>
              <w:snapToGrid w:val="0"/>
              <w:spacing w:line="360" w:lineRule="auto"/>
              <w:ind w:firstLine="480" w:firstLineChars="200"/>
              <w:rPr>
                <w:rFonts w:hint="eastAsia" w:ascii="宋体" w:hAnsi="宋体" w:cs="宋体"/>
                <w:bCs/>
                <w:iCs/>
                <w:sz w:val="24"/>
                <w:szCs w:val="24"/>
              </w:rPr>
            </w:pPr>
            <w:r>
              <w:rPr>
                <w:rFonts w:hint="eastAsia" w:ascii="宋体" w:hAnsi="宋体" w:cs="宋体"/>
                <w:bCs/>
                <w:iCs/>
                <w:sz w:val="24"/>
                <w:szCs w:val="24"/>
              </w:rPr>
              <w:t>投资者接待活动过程中，公司接待人员积极回复投资者提出的问题，回复的内容符合公司《信息披露事务管理制度》等制度的规定，回复的信息真实、准确，本次活动不存在应当披露的重大信息。</w:t>
            </w:r>
          </w:p>
        </w:tc>
      </w:tr>
      <w:tr w14:paraId="6EF50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989" w:type="dxa"/>
            <w:shd w:val="clear" w:color="auto" w:fill="auto"/>
            <w:vAlign w:val="center"/>
          </w:tcPr>
          <w:p w14:paraId="3A02919B">
            <w:pPr>
              <w:adjustRightInd w:val="0"/>
              <w:snapToGrid w:val="0"/>
              <w:jc w:val="center"/>
              <w:rPr>
                <w:rFonts w:hint="eastAsia" w:ascii="宋体" w:hAnsi="宋体" w:cs="宋体"/>
                <w:b/>
                <w:bCs/>
                <w:iCs/>
                <w:sz w:val="24"/>
                <w:szCs w:val="24"/>
              </w:rPr>
            </w:pPr>
            <w:r>
              <w:rPr>
                <w:rFonts w:hint="eastAsia" w:ascii="宋体" w:hAnsi="宋体" w:cs="宋体"/>
                <w:b/>
                <w:bCs/>
                <w:iCs/>
                <w:sz w:val="24"/>
                <w:szCs w:val="24"/>
              </w:rPr>
              <w:t>附件清单</w:t>
            </w:r>
          </w:p>
        </w:tc>
        <w:tc>
          <w:tcPr>
            <w:tcW w:w="7543" w:type="dxa"/>
            <w:shd w:val="clear" w:color="auto" w:fill="auto"/>
            <w:vAlign w:val="center"/>
          </w:tcPr>
          <w:p w14:paraId="0F98AB6C">
            <w:pPr>
              <w:adjustRightInd w:val="0"/>
              <w:snapToGrid w:val="0"/>
              <w:rPr>
                <w:rFonts w:hint="eastAsia" w:ascii="宋体" w:hAnsi="宋体" w:cs="宋体"/>
                <w:bCs/>
                <w:iCs/>
                <w:sz w:val="24"/>
                <w:szCs w:val="24"/>
              </w:rPr>
            </w:pPr>
            <w:r>
              <w:rPr>
                <w:rFonts w:hint="eastAsia" w:ascii="宋体" w:hAnsi="宋体" w:cs="宋体"/>
                <w:bCs/>
                <w:iCs/>
                <w:sz w:val="24"/>
                <w:szCs w:val="24"/>
              </w:rPr>
              <w:t>无</w:t>
            </w:r>
          </w:p>
        </w:tc>
      </w:tr>
      <w:tr w14:paraId="174F2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989" w:type="dxa"/>
            <w:shd w:val="clear" w:color="auto" w:fill="auto"/>
            <w:vAlign w:val="center"/>
          </w:tcPr>
          <w:p w14:paraId="48F34D6B">
            <w:pPr>
              <w:adjustRightInd w:val="0"/>
              <w:snapToGrid w:val="0"/>
              <w:jc w:val="center"/>
              <w:rPr>
                <w:rFonts w:hint="eastAsia" w:ascii="宋体" w:hAnsi="宋体" w:cs="宋体"/>
                <w:b/>
                <w:bCs/>
                <w:iCs/>
                <w:sz w:val="24"/>
                <w:szCs w:val="24"/>
              </w:rPr>
            </w:pPr>
            <w:r>
              <w:rPr>
                <w:rFonts w:hint="eastAsia" w:ascii="宋体" w:hAnsi="宋体" w:cs="宋体"/>
                <w:b/>
                <w:bCs/>
                <w:iCs/>
                <w:sz w:val="24"/>
                <w:szCs w:val="24"/>
              </w:rPr>
              <w:t>日期</w:t>
            </w:r>
          </w:p>
        </w:tc>
        <w:tc>
          <w:tcPr>
            <w:tcW w:w="7543" w:type="dxa"/>
            <w:shd w:val="clear" w:color="auto" w:fill="auto"/>
            <w:vAlign w:val="center"/>
          </w:tcPr>
          <w:p w14:paraId="38EDD69E">
            <w:pPr>
              <w:adjustRightInd w:val="0"/>
              <w:snapToGrid w:val="0"/>
              <w:rPr>
                <w:rFonts w:hint="eastAsia" w:ascii="宋体" w:hAnsi="宋体" w:cs="宋体"/>
                <w:bCs/>
                <w:iCs/>
                <w:sz w:val="24"/>
                <w:szCs w:val="24"/>
              </w:rPr>
            </w:pPr>
            <w:r>
              <w:rPr>
                <w:rFonts w:hint="eastAsia" w:ascii="宋体" w:hAnsi="宋体" w:cs="宋体"/>
                <w:bCs/>
                <w:iCs/>
                <w:sz w:val="24"/>
                <w:szCs w:val="24"/>
              </w:rPr>
              <w:t>2025年</w:t>
            </w:r>
            <w:r>
              <w:rPr>
                <w:rFonts w:hint="eastAsia" w:ascii="宋体" w:hAnsi="宋体" w:cs="宋体"/>
                <w:bCs/>
                <w:iCs/>
                <w:sz w:val="24"/>
                <w:szCs w:val="24"/>
                <w:lang w:val="en-US" w:eastAsia="zh-CN"/>
              </w:rPr>
              <w:t>9</w:t>
            </w:r>
            <w:r>
              <w:rPr>
                <w:rFonts w:hint="eastAsia" w:ascii="宋体" w:hAnsi="宋体" w:cs="宋体"/>
                <w:bCs/>
                <w:iCs/>
                <w:sz w:val="24"/>
                <w:szCs w:val="24"/>
              </w:rPr>
              <w:t>月</w:t>
            </w:r>
            <w:r>
              <w:rPr>
                <w:rFonts w:hint="eastAsia" w:ascii="宋体" w:hAnsi="宋体" w:cs="宋体"/>
                <w:bCs/>
                <w:iCs/>
                <w:sz w:val="24"/>
                <w:szCs w:val="24"/>
                <w:lang w:val="en-US" w:eastAsia="zh-CN"/>
              </w:rPr>
              <w:t>24</w:t>
            </w:r>
            <w:r>
              <w:rPr>
                <w:rFonts w:hint="eastAsia" w:ascii="宋体" w:hAnsi="宋体" w:cs="宋体"/>
                <w:bCs/>
                <w:iCs/>
                <w:sz w:val="24"/>
                <w:szCs w:val="24"/>
              </w:rPr>
              <w:t>日</w:t>
            </w:r>
          </w:p>
        </w:tc>
      </w:tr>
    </w:tbl>
    <w:p w14:paraId="0535685F">
      <w:pPr>
        <w:rPr>
          <w:rFonts w:eastAsia="楷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siyua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E6C"/>
    <w:rsid w:val="00135B91"/>
    <w:rsid w:val="00154F49"/>
    <w:rsid w:val="001D4ADB"/>
    <w:rsid w:val="002671AA"/>
    <w:rsid w:val="002760B1"/>
    <w:rsid w:val="002834E3"/>
    <w:rsid w:val="002C04D3"/>
    <w:rsid w:val="0031219B"/>
    <w:rsid w:val="00402F61"/>
    <w:rsid w:val="004B03CA"/>
    <w:rsid w:val="004E2DD3"/>
    <w:rsid w:val="005077FE"/>
    <w:rsid w:val="005B2678"/>
    <w:rsid w:val="006366B3"/>
    <w:rsid w:val="006B0E6C"/>
    <w:rsid w:val="00775ABC"/>
    <w:rsid w:val="00784682"/>
    <w:rsid w:val="00821195"/>
    <w:rsid w:val="008920C5"/>
    <w:rsid w:val="00964CFE"/>
    <w:rsid w:val="00A11D06"/>
    <w:rsid w:val="00A226D7"/>
    <w:rsid w:val="00AD3ED7"/>
    <w:rsid w:val="00B540CC"/>
    <w:rsid w:val="00B56411"/>
    <w:rsid w:val="00BB001F"/>
    <w:rsid w:val="00C23194"/>
    <w:rsid w:val="00C42A9B"/>
    <w:rsid w:val="00D05463"/>
    <w:rsid w:val="00E2678F"/>
    <w:rsid w:val="00E30EDD"/>
    <w:rsid w:val="00E60C15"/>
    <w:rsid w:val="00EB0E84"/>
    <w:rsid w:val="00F14FD6"/>
    <w:rsid w:val="00FC3A9D"/>
    <w:rsid w:val="00FF0C19"/>
    <w:rsid w:val="01866730"/>
    <w:rsid w:val="040A4AA1"/>
    <w:rsid w:val="09FA4720"/>
    <w:rsid w:val="0A1F3950"/>
    <w:rsid w:val="0A9D62B8"/>
    <w:rsid w:val="0AD24810"/>
    <w:rsid w:val="0E042496"/>
    <w:rsid w:val="10710B95"/>
    <w:rsid w:val="11A933AE"/>
    <w:rsid w:val="11E94524"/>
    <w:rsid w:val="15FB6E11"/>
    <w:rsid w:val="167A2D87"/>
    <w:rsid w:val="16D626D4"/>
    <w:rsid w:val="17E51656"/>
    <w:rsid w:val="18616F2E"/>
    <w:rsid w:val="18764630"/>
    <w:rsid w:val="1D220C11"/>
    <w:rsid w:val="1D510BB8"/>
    <w:rsid w:val="1FF0486C"/>
    <w:rsid w:val="1FFE6DBB"/>
    <w:rsid w:val="22926A2A"/>
    <w:rsid w:val="22F3177B"/>
    <w:rsid w:val="23111551"/>
    <w:rsid w:val="23132EE4"/>
    <w:rsid w:val="236F03AA"/>
    <w:rsid w:val="23DE3A3B"/>
    <w:rsid w:val="24A41B3F"/>
    <w:rsid w:val="257612AA"/>
    <w:rsid w:val="26FD77BD"/>
    <w:rsid w:val="29A16615"/>
    <w:rsid w:val="29AB4DDF"/>
    <w:rsid w:val="2C7E555C"/>
    <w:rsid w:val="2D5F77AF"/>
    <w:rsid w:val="2F7C3525"/>
    <w:rsid w:val="2F954E96"/>
    <w:rsid w:val="2FEB200B"/>
    <w:rsid w:val="31707E0F"/>
    <w:rsid w:val="31F6203D"/>
    <w:rsid w:val="33BC1355"/>
    <w:rsid w:val="35E90DEE"/>
    <w:rsid w:val="362C74C4"/>
    <w:rsid w:val="38331E91"/>
    <w:rsid w:val="39282324"/>
    <w:rsid w:val="3B5D05E1"/>
    <w:rsid w:val="3CA61A67"/>
    <w:rsid w:val="3F3302F4"/>
    <w:rsid w:val="40C96B6F"/>
    <w:rsid w:val="43C55D14"/>
    <w:rsid w:val="455016D6"/>
    <w:rsid w:val="45DE0D66"/>
    <w:rsid w:val="47D227AD"/>
    <w:rsid w:val="4BA12011"/>
    <w:rsid w:val="4BDC3BFA"/>
    <w:rsid w:val="4D0D79B2"/>
    <w:rsid w:val="4DFA61AA"/>
    <w:rsid w:val="510E0CFA"/>
    <w:rsid w:val="52297EF2"/>
    <w:rsid w:val="52DC6E15"/>
    <w:rsid w:val="52F05F79"/>
    <w:rsid w:val="550F3292"/>
    <w:rsid w:val="5568182A"/>
    <w:rsid w:val="56215E4F"/>
    <w:rsid w:val="57183488"/>
    <w:rsid w:val="57C31664"/>
    <w:rsid w:val="57D268FD"/>
    <w:rsid w:val="5954043B"/>
    <w:rsid w:val="5C3D69EF"/>
    <w:rsid w:val="5DB47C4D"/>
    <w:rsid w:val="5F3B6E50"/>
    <w:rsid w:val="5F780201"/>
    <w:rsid w:val="60126868"/>
    <w:rsid w:val="6119480C"/>
    <w:rsid w:val="62032538"/>
    <w:rsid w:val="630930CF"/>
    <w:rsid w:val="642509F0"/>
    <w:rsid w:val="64C51278"/>
    <w:rsid w:val="65133287"/>
    <w:rsid w:val="684419F9"/>
    <w:rsid w:val="68AB69D7"/>
    <w:rsid w:val="68CA079F"/>
    <w:rsid w:val="698711F2"/>
    <w:rsid w:val="6ACF6001"/>
    <w:rsid w:val="6B383D1A"/>
    <w:rsid w:val="6C792876"/>
    <w:rsid w:val="6CC85FB5"/>
    <w:rsid w:val="6CD105BD"/>
    <w:rsid w:val="6EDA5EEB"/>
    <w:rsid w:val="6F7D5105"/>
    <w:rsid w:val="701666EE"/>
    <w:rsid w:val="702B30AF"/>
    <w:rsid w:val="73EA0B49"/>
    <w:rsid w:val="75975B9D"/>
    <w:rsid w:val="761B345F"/>
    <w:rsid w:val="76206667"/>
    <w:rsid w:val="7A587133"/>
    <w:rsid w:val="7BA46CD9"/>
    <w:rsid w:val="7CAD3082"/>
    <w:rsid w:val="7F315A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alloon Text"/>
    <w:basedOn w:val="1"/>
    <w:link w:val="10"/>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标题 2 字符"/>
    <w:basedOn w:val="8"/>
    <w:link w:val="2"/>
    <w:qFormat/>
    <w:uiPriority w:val="9"/>
    <w:rPr>
      <w:rFonts w:asciiTheme="majorHAnsi" w:hAnsiTheme="majorHAnsi" w:eastAsiaTheme="majorEastAsia" w:cstheme="majorBidi"/>
      <w:b/>
      <w:bCs/>
      <w:sz w:val="32"/>
      <w:szCs w:val="32"/>
    </w:rPr>
  </w:style>
  <w:style w:type="character" w:customStyle="1" w:styleId="10">
    <w:name w:val="批注框文本 字符"/>
    <w:basedOn w:val="8"/>
    <w:link w:val="4"/>
    <w:semiHidden/>
    <w:qFormat/>
    <w:uiPriority w:val="99"/>
    <w:rPr>
      <w:rFonts w:ascii="Times New Roman" w:hAnsi="Times New Roman" w:eastAsia="宋体" w:cs="Times New Roman"/>
      <w:sz w:val="18"/>
      <w:szCs w:val="18"/>
    </w:rPr>
  </w:style>
  <w:style w:type="character" w:customStyle="1" w:styleId="11">
    <w:name w:val="页眉 字符"/>
    <w:basedOn w:val="8"/>
    <w:link w:val="6"/>
    <w:qFormat/>
    <w:uiPriority w:val="99"/>
    <w:rPr>
      <w:rFonts w:ascii="Times New Roman" w:hAnsi="Times New Roman" w:eastAsia="宋体" w:cs="Times New Roman"/>
      <w:sz w:val="18"/>
      <w:szCs w:val="18"/>
    </w:rPr>
  </w:style>
  <w:style w:type="character" w:customStyle="1" w:styleId="12">
    <w:name w:val="页脚 字符"/>
    <w:basedOn w:val="8"/>
    <w:link w:val="5"/>
    <w:qFormat/>
    <w:uiPriority w:val="99"/>
    <w:rPr>
      <w:rFonts w:ascii="Times New Roman" w:hAnsi="Times New Roman" w:eastAsia="宋体" w:cs="Times New Roman"/>
      <w:sz w:val="18"/>
      <w:szCs w:val="18"/>
    </w:rPr>
  </w:style>
  <w:style w:type="paragraph" w:customStyle="1" w:styleId="13">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4232</Words>
  <Characters>4394</Characters>
  <Lines>23</Lines>
  <Paragraphs>6</Paragraphs>
  <TotalTime>28</TotalTime>
  <ScaleCrop>false</ScaleCrop>
  <LinksUpToDate>false</LinksUpToDate>
  <CharactersWithSpaces>4534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2025-06-18T08:59:00Z</dcterms:created>
  <dc:creator>张园园</dc:creator>
  <cp:lastModifiedBy>xyx</cp:lastModifiedBy>
  <dcterms:modified xsi:type="dcterms:W3CDTF">2025-09-23T08:35:19Z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9C5EAE9B68BE49EDB840F7714D2F10F3_13</vt:lpwstr>
  </property>
  <property fmtid="{D5CDD505-2E9C-101B-9397-08002B2CF9AE}" pid="4" name="KSOTemplateDocerSaveRecord">
    <vt:lpwstr>eyJoZGlkIjoiOTc5NWJmZjJlNzIxY2JiZTEyNTA1ZWJkNWJhMjM2YzEiLCJ1c2VySWQiOiI2MzA4OTU5NTEifQ==</vt:lpwstr>
  </property>
</Properties>
</file>