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bCs/>
          <w:iCs/>
          <w:color w:val="000000"/>
          <w:sz w:val="24"/>
          <w:szCs w:val="24"/>
        </w:rPr>
      </w:pPr>
      <w:r>
        <w:rPr>
          <w:rFonts w:hint="eastAsia" w:ascii="宋体" w:hAnsi="宋体"/>
          <w:bCs/>
          <w:iCs/>
          <w:color w:val="000000"/>
          <w:sz w:val="24"/>
          <w:szCs w:val="24"/>
        </w:rPr>
        <w:t>证券代码：688411                                    证券简称：海博思创</w:t>
      </w:r>
    </w:p>
    <w:p>
      <w:pPr>
        <w:spacing w:line="560" w:lineRule="exact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北京海博思创科技股份有限公司投资者关系活动记录表</w:t>
      </w:r>
    </w:p>
    <w:p>
      <w:pPr>
        <w:spacing w:line="560" w:lineRule="exact"/>
        <w:rPr>
          <w:rFonts w:hint="eastAsia" w:ascii="宋体" w:hAnsi="宋体"/>
          <w:bCs/>
          <w:iCs/>
          <w:color w:val="000000"/>
          <w:sz w:val="24"/>
          <w:szCs w:val="24"/>
        </w:rPr>
      </w:pPr>
      <w:r>
        <w:rPr>
          <w:rFonts w:hint="eastAsia" w:ascii="宋体" w:hAnsi="宋体"/>
          <w:bCs/>
          <w:iCs/>
          <w:color w:val="000000"/>
          <w:sz w:val="28"/>
          <w:szCs w:val="28"/>
        </w:rPr>
        <w:t xml:space="preserve">                                                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>编号：2025-003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投资者关系活动类别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分析师会议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业绩说明会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ab/>
            </w:r>
          </w:p>
          <w:p>
            <w:pPr>
              <w:tabs>
                <w:tab w:val="center" w:pos="3199"/>
              </w:tabs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其他 （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参与单位名称及人员姓名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中信证券，东吴证券，长江证券，中信建投，浙商证券，广发证券、西部证券、中泰证券等券商及投资机构人员共98人</w:t>
            </w:r>
            <w:bookmarkEnd w:id="0"/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2025年9月22日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北京市海淀区丰豪东路9号院2号楼D座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上市公司接待人员姓名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公司董事长，总经理：张剑辉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公司董事，副总经理：舒鹏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公司董事会秘书，副总经理，财务负责人：高书清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投资者关系活动主要内容介绍</w:t>
            </w:r>
          </w:p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对储能行业趋势的判断？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答：136号文的出台利好储能行业。136号文出台后，储能成为独立的市场投资主体，与新能源建设解耦，逐步具备独立的获利方式。预计各省将会陆续出台各项政策促进储能行业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发展，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  <w:lang w:val="en-US" w:eastAsia="zh-CN"/>
              </w:rPr>
              <w:t>例如，</w:t>
            </w: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甘肃出台的容量电价政策具有示范性作用，使投资储能具备良好的经济性；《新型储能规模化建设专项行动方案（2025-2027年）》明确了到2027年装机180GW的行动方案；《关于完善价格机制促进新能源发电就近消纳的通知》（“1192号文”），明确了新能源发电就近消纳项目的价格机制，通过价格信号引导社会资本对就近消纳项目的合理投资。多项利好政策推动储能行业良性发展。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如何看待储能市场未来竞争格局，公司如何保持竞争力？</w:t>
            </w:r>
          </w:p>
          <w:p>
            <w:pPr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答：储能市场投资主体呈现多元化，储能市场从价格导向转向价值导向，重视设备的性价比和电站全生命周期内的经济效益。预计未来行业竞争态势会向头部集中。</w:t>
            </w:r>
          </w:p>
          <w:p>
            <w:pPr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公司的竞争优势：对电力系统的深度理解、以及将硬件设备与交易策略深度融合的能力；针对储能设备的数字化建模，通过海量数据形成技术壁垒；通过人工智能在储能中的应用，提升储能系统的交易价值。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公司在独立储能项目中承担的角色？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答：公司逐步从设备供应商向能源服务商转变，重视大数据分析及人工智能在储能中的应用，从前端项目开发、设备供应到后端运维，将底层设备和顶层的交易策略结合。在储能电站选址、设备选型、后端运维等方面充分发挥公司的优势，形成储能电站全生命周期价值链的布局，创造长期价值。</w:t>
            </w:r>
          </w:p>
          <w:p>
            <w:r>
              <w:rPr>
                <w:rFonts w:hint="eastAsia"/>
              </w:rPr>
              <w:t>目前，公司</w:t>
            </w:r>
            <w:r>
              <w:rPr>
                <w:rFonts w:ascii="宋体" w:hAnsi="宋体" w:cs="宋体"/>
              </w:rPr>
              <w:t>布局储能资产运</w:t>
            </w:r>
            <w:r>
              <w:rPr>
                <w:rFonts w:hint="eastAsia" w:ascii="宋体" w:hAnsi="宋体" w:cs="宋体"/>
              </w:rPr>
              <w:t>维</w:t>
            </w:r>
            <w:r>
              <w:rPr>
                <w:rFonts w:ascii="宋体" w:hAnsi="宋体" w:cs="宋体"/>
              </w:rPr>
              <w:t>，抢占</w:t>
            </w:r>
            <w:r>
              <w:rPr>
                <w:rFonts w:hint="eastAsia" w:ascii="宋体" w:hAnsi="宋体" w:cs="宋体"/>
              </w:rPr>
              <w:t>储能</w:t>
            </w:r>
            <w:r>
              <w:rPr>
                <w:rFonts w:ascii="宋体" w:hAnsi="宋体" w:cs="宋体"/>
              </w:rPr>
              <w:t>电力交易</w:t>
            </w:r>
            <w:r>
              <w:rPr>
                <w:rFonts w:hint="eastAsia" w:ascii="宋体" w:hAnsi="宋体" w:cs="宋体"/>
              </w:rPr>
              <w:t>的市场</w:t>
            </w:r>
            <w:r>
              <w:rPr>
                <w:rFonts w:ascii="宋体" w:hAnsi="宋体" w:cs="宋体"/>
              </w:rPr>
              <w:t>先机</w:t>
            </w:r>
            <w:r>
              <w:rPr>
                <w:rFonts w:hint="eastAsia" w:ascii="宋体" w:hAnsi="宋体" w:cs="宋体"/>
              </w:rPr>
              <w:t>，深度参与独立储能电站的运维服务。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公司海外市场战略？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答：海外客户更关注合规性及完整的解决方案，公司发挥系统集成的灵活性，适应本土客户要求，提供交钥匙工程。从地域上看，北美、欧洲、东南亚，是公司主要布局的市场区域。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上游供应价格波动对公司是否有影响？</w:t>
            </w:r>
          </w:p>
          <w:p>
            <w:r>
              <w:rPr>
                <w:rFonts w:hint="eastAsia"/>
                <w:szCs w:val="21"/>
              </w:rPr>
              <w:t>答：</w:t>
            </w:r>
            <w:r>
              <w:rPr>
                <w:rFonts w:hint="eastAsia"/>
              </w:rPr>
              <w:t>今年供应形势相对平稳，终端市场价格有适当反弹。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针对大电芯应用，公司产品开发与适配情况？</w:t>
            </w:r>
          </w:p>
          <w:p>
            <w:r>
              <w:rPr>
                <w:rFonts w:hint="eastAsia"/>
              </w:rPr>
              <w:t>答：公司着重从终端应用场景定义和开发适配大电芯的储能系统产品，以提高产品的效率、寿命、可靠性为目标，</w:t>
            </w:r>
            <w:r>
              <w:rPr>
                <w:rFonts w:hint="eastAsia"/>
                <w:lang w:val="en-US" w:eastAsia="zh-CN"/>
              </w:rPr>
              <w:t>从而</w:t>
            </w:r>
            <w:r>
              <w:rPr>
                <w:rFonts w:hint="eastAsia"/>
              </w:rPr>
              <w:t>实现储能电站</w:t>
            </w:r>
            <w:r>
              <w:t>全生命周期</w:t>
            </w:r>
            <w:r>
              <w:rPr>
                <w:rFonts w:hint="eastAsia"/>
              </w:rPr>
              <w:t>内的投资收益。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数据中心储能需求如何？</w:t>
            </w:r>
          </w:p>
          <w:p>
            <w:r>
              <w:rPr>
                <w:rFonts w:hint="eastAsia"/>
              </w:rPr>
              <w:t>答：数据中心储能在海外的需求较大，国内尚待政策引导，</w:t>
            </w:r>
            <w:r>
              <w:t>一旦突破，</w:t>
            </w:r>
            <w:r>
              <w:rPr>
                <w:rFonts w:hint="eastAsia"/>
              </w:rPr>
              <w:t>预计市场需求</w:t>
            </w:r>
            <w:r>
              <w:t>潜力巨大</w:t>
            </w:r>
            <w:r>
              <w:rPr>
                <w:rFonts w:hint="eastAsia"/>
              </w:rPr>
              <w:t>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交易运维的市场格局？</w:t>
            </w:r>
          </w:p>
          <w:p>
            <w:r>
              <w:rPr>
                <w:rFonts w:hint="eastAsia"/>
              </w:rPr>
              <w:t>答：储能电站的专业交易运维市场刚刚起步，公司利用大数据支撑交易策略，</w:t>
            </w:r>
            <w:r>
              <w:rPr>
                <w:rFonts w:ascii="宋体" w:hAnsi="宋体" w:cs="宋体"/>
              </w:rPr>
              <w:t>区别于传统</w:t>
            </w:r>
            <w:r>
              <w:rPr>
                <w:rFonts w:hint="eastAsia" w:ascii="宋体" w:hAnsi="宋体" w:cs="宋体"/>
              </w:rPr>
              <w:t>售电等交易模式</w:t>
            </w:r>
            <w:r>
              <w:rPr>
                <w:rFonts w:hint="eastAsia"/>
              </w:rPr>
              <w:t>。</w:t>
            </w:r>
            <w:bookmarkStart w:id="2" w:name="_GoBack"/>
            <w:bookmarkEnd w:id="2"/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独立储能的收益情况如何？</w:t>
            </w:r>
          </w:p>
          <w:p>
            <w:r>
              <w:rPr>
                <w:rFonts w:hint="eastAsia"/>
              </w:rPr>
              <w:t>答：储能电站收益主要来自容量电价、峰谷价差套利及辅助服务，各地因政策等不同存在差异。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公司采购电芯的策略？</w:t>
            </w:r>
          </w:p>
          <w:p>
            <w:r>
              <w:rPr>
                <w:rFonts w:hint="eastAsia"/>
              </w:rPr>
              <w:t>答：基于商业模式变化和市场导向转变，电芯价格走势受市场供需和产品迭代影响，公司会根据实际情况适时进行研判和策略调整，提前和电芯厂家进行洽谈需求。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1192号文对行业的影响？</w:t>
            </w:r>
          </w:p>
          <w:p>
            <w:r>
              <w:rPr>
                <w:rFonts w:hint="eastAsia"/>
              </w:rPr>
              <w:t>答：该政策有利于储能行业发展，催生储能新增装机量，将促进新能源与储能联合运营的商业模式。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电力交易软件的开发和布局？</w:t>
            </w:r>
          </w:p>
          <w:p>
            <w:r>
              <w:rPr>
                <w:rFonts w:hint="eastAsia"/>
              </w:rPr>
              <w:t>答：</w:t>
            </w:r>
            <w:r>
              <w:t>交易策略复杂度高，需结合电网数据、天气、负荷预测等多维度信息</w:t>
            </w:r>
            <w:r>
              <w:rPr>
                <w:rFonts w:hint="eastAsia"/>
              </w:rPr>
              <w:t>，全国统一的电力市场建立后，将</w:t>
            </w:r>
            <w:r>
              <w:t>朝着自动化、软件化方向发展。公司在重点区域（如甘肃）已有电站参与交易，测试效果良好。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国内储能市场空间及公司发展规划？</w:t>
            </w:r>
          </w:p>
          <w:p>
            <w:r>
              <w:rPr>
                <w:rFonts w:hint="eastAsia"/>
              </w:rPr>
              <w:t>答：预计未来三年国内市场规模约800GWh，看好独立储能及各类应用场景的储能应用。公司将持续聚焦国内的独立储能及各种储能应用场景的开发，同时保持海外业务与国内业务并重的策略。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公司对于固态电池的规划？</w:t>
            </w:r>
          </w:p>
          <w:p>
            <w:r>
              <w:rPr>
                <w:rFonts w:hint="eastAsia"/>
              </w:rPr>
              <w:t>答：公司较早地通过参股合资公司布局固态电池，对储能用固态电池进行研究和合作开发，目前合资公司制造的半固态电池已在部分项目中应用。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附件清单（如有）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2025年9月22日</w:t>
            </w:r>
          </w:p>
        </w:tc>
      </w:tr>
    </w:tbl>
    <w:p>
      <w:pPr>
        <w:rPr>
          <w:rFonts w:hint="eastAsia"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412B84"/>
    <w:multiLevelType w:val="singleLevel"/>
    <w:tmpl w:val="28412B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xOGViOTRmOTgzNjJlOWU5ZTMzOTllMjg1ZmFkZGMifQ=="/>
  </w:docVars>
  <w:rsids>
    <w:rsidRoot w:val="00182BFA"/>
    <w:rsid w:val="000734A3"/>
    <w:rsid w:val="000907BA"/>
    <w:rsid w:val="000B5782"/>
    <w:rsid w:val="00100C69"/>
    <w:rsid w:val="001356FE"/>
    <w:rsid w:val="00182BFA"/>
    <w:rsid w:val="00317F1E"/>
    <w:rsid w:val="00356884"/>
    <w:rsid w:val="003C754B"/>
    <w:rsid w:val="003D3407"/>
    <w:rsid w:val="00415B69"/>
    <w:rsid w:val="005A1457"/>
    <w:rsid w:val="005B30B2"/>
    <w:rsid w:val="005F3F96"/>
    <w:rsid w:val="006B15EF"/>
    <w:rsid w:val="00873B5D"/>
    <w:rsid w:val="008B23EE"/>
    <w:rsid w:val="008D6A18"/>
    <w:rsid w:val="008F0AD8"/>
    <w:rsid w:val="009E3240"/>
    <w:rsid w:val="00CC534A"/>
    <w:rsid w:val="00D42F15"/>
    <w:rsid w:val="00F31DD6"/>
    <w:rsid w:val="01417BB8"/>
    <w:rsid w:val="03D851F9"/>
    <w:rsid w:val="08C557B8"/>
    <w:rsid w:val="08C72ED4"/>
    <w:rsid w:val="09B66735"/>
    <w:rsid w:val="0B0F7AEF"/>
    <w:rsid w:val="0B642CE9"/>
    <w:rsid w:val="0C6F5DE9"/>
    <w:rsid w:val="108A1444"/>
    <w:rsid w:val="10D8319E"/>
    <w:rsid w:val="10E15A82"/>
    <w:rsid w:val="159E09E1"/>
    <w:rsid w:val="167364D6"/>
    <w:rsid w:val="1AA77D4B"/>
    <w:rsid w:val="1C9E4FA7"/>
    <w:rsid w:val="1CB4047E"/>
    <w:rsid w:val="1D9C27B6"/>
    <w:rsid w:val="1DFC1DC0"/>
    <w:rsid w:val="1E7719D2"/>
    <w:rsid w:val="1F9A0F77"/>
    <w:rsid w:val="1FEF2C52"/>
    <w:rsid w:val="21617F9F"/>
    <w:rsid w:val="21723F5A"/>
    <w:rsid w:val="219A0DBB"/>
    <w:rsid w:val="23651B5F"/>
    <w:rsid w:val="2383647E"/>
    <w:rsid w:val="26BB5A5B"/>
    <w:rsid w:val="29437AAE"/>
    <w:rsid w:val="2C011CA6"/>
    <w:rsid w:val="2C536608"/>
    <w:rsid w:val="2E701821"/>
    <w:rsid w:val="2E70537D"/>
    <w:rsid w:val="2F2148C9"/>
    <w:rsid w:val="314640D4"/>
    <w:rsid w:val="31BB2DB3"/>
    <w:rsid w:val="34105EA8"/>
    <w:rsid w:val="36B97ADD"/>
    <w:rsid w:val="37891CD9"/>
    <w:rsid w:val="381F0EA7"/>
    <w:rsid w:val="38353194"/>
    <w:rsid w:val="383E6B55"/>
    <w:rsid w:val="39181FE0"/>
    <w:rsid w:val="395104A1"/>
    <w:rsid w:val="3DA3107B"/>
    <w:rsid w:val="3DD57690"/>
    <w:rsid w:val="40493C80"/>
    <w:rsid w:val="406D1F13"/>
    <w:rsid w:val="41026510"/>
    <w:rsid w:val="42C841DE"/>
    <w:rsid w:val="43E82D0D"/>
    <w:rsid w:val="44345C27"/>
    <w:rsid w:val="45336CAD"/>
    <w:rsid w:val="45B778DE"/>
    <w:rsid w:val="470A3548"/>
    <w:rsid w:val="47E32C0C"/>
    <w:rsid w:val="4934257B"/>
    <w:rsid w:val="4A0B01F8"/>
    <w:rsid w:val="4ADB71FC"/>
    <w:rsid w:val="4CF60EEE"/>
    <w:rsid w:val="4D524F23"/>
    <w:rsid w:val="4F7E3AD8"/>
    <w:rsid w:val="4F842D4D"/>
    <w:rsid w:val="504A1E5D"/>
    <w:rsid w:val="50593E26"/>
    <w:rsid w:val="50780212"/>
    <w:rsid w:val="52DC6BD6"/>
    <w:rsid w:val="52F263F9"/>
    <w:rsid w:val="54526FAA"/>
    <w:rsid w:val="55846DC1"/>
    <w:rsid w:val="57B123DF"/>
    <w:rsid w:val="5845304D"/>
    <w:rsid w:val="5A286265"/>
    <w:rsid w:val="5A363BCF"/>
    <w:rsid w:val="5BE32F71"/>
    <w:rsid w:val="600952D6"/>
    <w:rsid w:val="60A24FBB"/>
    <w:rsid w:val="61EC19BB"/>
    <w:rsid w:val="66944A4C"/>
    <w:rsid w:val="69F0323B"/>
    <w:rsid w:val="6B03555D"/>
    <w:rsid w:val="6C2B7950"/>
    <w:rsid w:val="6D662C62"/>
    <w:rsid w:val="7130216F"/>
    <w:rsid w:val="71C22409"/>
    <w:rsid w:val="74055B35"/>
    <w:rsid w:val="759A04FF"/>
    <w:rsid w:val="78465F1F"/>
    <w:rsid w:val="79684DBF"/>
    <w:rsid w:val="79D5486D"/>
    <w:rsid w:val="7A116AE7"/>
    <w:rsid w:val="7BDF3012"/>
    <w:rsid w:val="7C532F51"/>
    <w:rsid w:val="7E4D6BDA"/>
    <w:rsid w:val="7E826A9E"/>
    <w:rsid w:val="7E99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7">
    <w:name w:val="Strong"/>
    <w:basedOn w:val="6"/>
    <w:autoRedefine/>
    <w:qFormat/>
    <w:uiPriority w:val="22"/>
    <w:rPr>
      <w:b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10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1243</Words>
  <Characters>1282</Characters>
  <Lines>71</Lines>
  <Paragraphs>74</Paragraphs>
  <TotalTime>144</TotalTime>
  <ScaleCrop>false</ScaleCrop>
  <LinksUpToDate>false</LinksUpToDate>
  <CharactersWithSpaces>2451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2020-06-19T09:42:00Z</dcterms:created>
  <dc:creator>杨凤</dc:creator>
  <cp:lastModifiedBy>cuilingrui</cp:lastModifiedBy>
  <dcterms:modified xsi:type="dcterms:W3CDTF">2025-09-23T07:33:02Z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D963AA33987A4C6EAF92B9EB42B3407B_13</vt:lpwstr>
  </property>
  <property fmtid="{D5CDD505-2E9C-101B-9397-08002B2CF9AE}" pid="4" name="KSOTemplateDocerSaveRecord">
    <vt:lpwstr>eyJoZGlkIjoiMzEwNTM5NzYwMDRjMzkwZTVkZjY2ODkwMGIxNGU0OTUiLCJ1c2VySWQiOiIyODQ2Njc0MjIifQ==</vt:lpwstr>
  </property>
</Properties>
</file>