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059F" w14:textId="77777777" w:rsidR="00FB4C1B"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18116487" w14:textId="77777777" w:rsidR="00FB4C1B"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6E4A589F" w14:textId="77777777" w:rsidR="00FB4C1B"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536B3D7" w14:textId="77777777" w:rsidR="00FB4C1B"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Pr>
          <w:rFonts w:hint="eastAsia"/>
          <w:color w:val="000000"/>
          <w:sz w:val="24"/>
          <w:szCs w:val="24"/>
        </w:rPr>
        <w:t>5</w:t>
      </w:r>
      <w:r>
        <w:rPr>
          <w:color w:val="000000"/>
          <w:sz w:val="24"/>
          <w:szCs w:val="24"/>
        </w:rPr>
        <w:t>-0</w:t>
      </w:r>
      <w:r>
        <w:rPr>
          <w:rFonts w:hint="eastAsia"/>
          <w:color w:val="000000"/>
          <w:sz w:val="24"/>
          <w:szCs w:val="24"/>
        </w:rPr>
        <w:t>02</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FB4C1B" w14:paraId="2785349D" w14:textId="77777777">
        <w:tc>
          <w:tcPr>
            <w:tcW w:w="1773" w:type="dxa"/>
            <w:vAlign w:val="center"/>
          </w:tcPr>
          <w:p w14:paraId="0E9DFE20" w14:textId="77777777" w:rsidR="00FB4C1B" w:rsidRDefault="00000000">
            <w:pPr>
              <w:rPr>
                <w:color w:val="000000"/>
                <w:sz w:val="24"/>
                <w:szCs w:val="24"/>
              </w:rPr>
            </w:pPr>
            <w:r>
              <w:rPr>
                <w:color w:val="000000"/>
                <w:sz w:val="24"/>
                <w:szCs w:val="24"/>
              </w:rPr>
              <w:t>投资者关系活动类别</w:t>
            </w:r>
          </w:p>
        </w:tc>
        <w:tc>
          <w:tcPr>
            <w:tcW w:w="8909" w:type="dxa"/>
          </w:tcPr>
          <w:p w14:paraId="5E2ABBE2" w14:textId="77777777" w:rsidR="00FB4C1B" w:rsidRDefault="00000000">
            <w:pPr>
              <w:spacing w:line="480" w:lineRule="atLeast"/>
              <w:rPr>
                <w:color w:val="000000"/>
                <w:sz w:val="24"/>
                <w:szCs w:val="24"/>
              </w:rPr>
            </w:pPr>
            <w:r>
              <w:rPr>
                <w:color w:val="000000"/>
                <w:sz w:val="24"/>
                <w:szCs w:val="24"/>
              </w:rPr>
              <w:t>□</w:t>
            </w:r>
            <w:r>
              <w:rPr>
                <w:sz w:val="24"/>
                <w:szCs w:val="24"/>
              </w:rPr>
              <w:t>特定对象调研</w:t>
            </w:r>
            <w:r>
              <w:rPr>
                <w:sz w:val="24"/>
                <w:szCs w:val="24"/>
              </w:rPr>
              <w:t xml:space="preserve">    </w:t>
            </w:r>
            <w:r>
              <w:rPr>
                <w:color w:val="000000"/>
                <w:sz w:val="24"/>
                <w:szCs w:val="24"/>
              </w:rPr>
              <w:t>□</w:t>
            </w:r>
            <w:r>
              <w:rPr>
                <w:sz w:val="24"/>
                <w:szCs w:val="24"/>
              </w:rPr>
              <w:t>分析师会议</w:t>
            </w:r>
          </w:p>
          <w:p w14:paraId="2876B807" w14:textId="77777777" w:rsidR="00FB4C1B" w:rsidRDefault="00000000">
            <w:pPr>
              <w:spacing w:line="480" w:lineRule="atLeast"/>
              <w:rPr>
                <w:color w:val="000000"/>
                <w:sz w:val="24"/>
                <w:szCs w:val="24"/>
              </w:rPr>
            </w:pPr>
            <w:r>
              <w:rPr>
                <w:color w:val="000000"/>
                <w:sz w:val="24"/>
                <w:szCs w:val="24"/>
              </w:rPr>
              <w:t>□</w:t>
            </w:r>
            <w:r>
              <w:rPr>
                <w:sz w:val="24"/>
                <w:szCs w:val="24"/>
              </w:rPr>
              <w:t>媒体采访</w:t>
            </w:r>
            <w:r>
              <w:rPr>
                <w:sz w:val="24"/>
                <w:szCs w:val="24"/>
              </w:rPr>
              <w:t xml:space="preserve">    </w:t>
            </w:r>
            <w:r>
              <w:rPr>
                <w:rFonts w:hint="eastAsia"/>
                <w:sz w:val="24"/>
                <w:szCs w:val="24"/>
              </w:rPr>
              <w:t xml:space="preserve">    </w:t>
            </w:r>
            <w:r>
              <w:rPr>
                <w:sz w:val="24"/>
                <w:szCs w:val="24"/>
              </w:rPr>
              <w:t xml:space="preserve">    </w:t>
            </w:r>
            <w:r>
              <w:rPr>
                <w:color w:val="000000"/>
                <w:sz w:val="24"/>
                <w:szCs w:val="24"/>
              </w:rPr>
              <w:t>■</w:t>
            </w:r>
            <w:r>
              <w:rPr>
                <w:sz w:val="24"/>
                <w:szCs w:val="24"/>
              </w:rPr>
              <w:t>业绩说明会</w:t>
            </w:r>
            <w:r>
              <w:rPr>
                <w:sz w:val="24"/>
                <w:szCs w:val="24"/>
              </w:rPr>
              <w:t xml:space="preserve">  </w:t>
            </w:r>
          </w:p>
          <w:p w14:paraId="6D7E9FBC" w14:textId="77777777" w:rsidR="00FB4C1B" w:rsidRDefault="00000000">
            <w:pPr>
              <w:spacing w:line="480" w:lineRule="atLeast"/>
              <w:rPr>
                <w:color w:val="000000"/>
                <w:sz w:val="24"/>
                <w:szCs w:val="24"/>
              </w:rPr>
            </w:pPr>
            <w:r>
              <w:rPr>
                <w:color w:val="000000"/>
                <w:sz w:val="24"/>
                <w:szCs w:val="24"/>
              </w:rPr>
              <w:t>□</w:t>
            </w:r>
            <w:r>
              <w:rPr>
                <w:sz w:val="24"/>
                <w:szCs w:val="24"/>
              </w:rPr>
              <w:t>新闻发布会</w:t>
            </w:r>
            <w:r>
              <w:rPr>
                <w:sz w:val="24"/>
                <w:szCs w:val="24"/>
              </w:rPr>
              <w:t xml:space="preserve">     </w:t>
            </w:r>
            <w:r>
              <w:rPr>
                <w:rFonts w:hint="eastAsia"/>
                <w:sz w:val="24"/>
                <w:szCs w:val="24"/>
              </w:rPr>
              <w:t xml:space="preserve">  </w:t>
            </w:r>
            <w:r>
              <w:rPr>
                <w:sz w:val="24"/>
                <w:szCs w:val="24"/>
              </w:rPr>
              <w:t xml:space="preserve"> </w:t>
            </w:r>
            <w:r>
              <w:rPr>
                <w:color w:val="000000"/>
                <w:sz w:val="24"/>
                <w:szCs w:val="24"/>
              </w:rPr>
              <w:t>□</w:t>
            </w:r>
            <w:r>
              <w:rPr>
                <w:sz w:val="24"/>
                <w:szCs w:val="24"/>
              </w:rPr>
              <w:t>路演活动</w:t>
            </w:r>
          </w:p>
          <w:p w14:paraId="2DC2DC2B" w14:textId="77777777" w:rsidR="00FB4C1B" w:rsidRDefault="00000000">
            <w:pPr>
              <w:tabs>
                <w:tab w:val="left" w:pos="3045"/>
                <w:tab w:val="center" w:pos="3199"/>
              </w:tabs>
              <w:spacing w:line="480" w:lineRule="atLeast"/>
              <w:rPr>
                <w:color w:val="000000"/>
                <w:sz w:val="24"/>
                <w:szCs w:val="24"/>
              </w:rPr>
            </w:pPr>
            <w:r>
              <w:rPr>
                <w:color w:val="000000"/>
                <w:sz w:val="24"/>
                <w:szCs w:val="24"/>
              </w:rPr>
              <w:t>□</w:t>
            </w:r>
            <w:r>
              <w:rPr>
                <w:sz w:val="24"/>
                <w:szCs w:val="24"/>
              </w:rPr>
              <w:t>现场参观</w:t>
            </w:r>
            <w:r>
              <w:rPr>
                <w:sz w:val="24"/>
                <w:szCs w:val="24"/>
              </w:rPr>
              <w:t xml:space="preserve">      </w:t>
            </w:r>
            <w:r>
              <w:rPr>
                <w:rFonts w:hint="eastAsia"/>
                <w:sz w:val="24"/>
                <w:szCs w:val="24"/>
              </w:rPr>
              <w:t xml:space="preserve">    </w:t>
            </w:r>
            <w:r>
              <w:rPr>
                <w:sz w:val="24"/>
                <w:szCs w:val="24"/>
              </w:rPr>
              <w:t xml:space="preserve">  </w:t>
            </w:r>
            <w:r>
              <w:rPr>
                <w:color w:val="000000"/>
                <w:sz w:val="24"/>
                <w:szCs w:val="24"/>
              </w:rPr>
              <w:t>□</w:t>
            </w:r>
            <w:r>
              <w:rPr>
                <w:sz w:val="24"/>
                <w:szCs w:val="24"/>
              </w:rPr>
              <w:t>其他（</w:t>
            </w:r>
            <w:r>
              <w:rPr>
                <w:sz w:val="24"/>
                <w:szCs w:val="24"/>
                <w:u w:val="single"/>
              </w:rPr>
              <w:t>请文字说明其他活动内容）</w:t>
            </w:r>
          </w:p>
        </w:tc>
      </w:tr>
      <w:tr w:rsidR="00FB4C1B" w14:paraId="70099932" w14:textId="77777777">
        <w:trPr>
          <w:trHeight w:val="1219"/>
        </w:trPr>
        <w:tc>
          <w:tcPr>
            <w:tcW w:w="1773" w:type="dxa"/>
            <w:vAlign w:val="center"/>
          </w:tcPr>
          <w:p w14:paraId="3C404074" w14:textId="77777777" w:rsidR="00FB4C1B" w:rsidRDefault="00000000">
            <w:pPr>
              <w:rPr>
                <w:color w:val="000000"/>
                <w:sz w:val="24"/>
                <w:szCs w:val="24"/>
              </w:rPr>
            </w:pPr>
            <w:r>
              <w:rPr>
                <w:color w:val="000000"/>
                <w:sz w:val="24"/>
                <w:szCs w:val="24"/>
              </w:rPr>
              <w:t>参与单位名称及人员名称</w:t>
            </w:r>
          </w:p>
        </w:tc>
        <w:tc>
          <w:tcPr>
            <w:tcW w:w="8909" w:type="dxa"/>
            <w:vAlign w:val="center"/>
          </w:tcPr>
          <w:p w14:paraId="07F57EAE" w14:textId="77777777" w:rsidR="00FB4C1B" w:rsidRDefault="00000000">
            <w:pPr>
              <w:adjustRightInd w:val="0"/>
              <w:snapToGrid w:val="0"/>
              <w:spacing w:line="360" w:lineRule="auto"/>
              <w:rPr>
                <w:rFonts w:eastAsiaTheme="minorEastAsia"/>
                <w:color w:val="000000"/>
                <w:sz w:val="24"/>
                <w:szCs w:val="24"/>
              </w:rPr>
            </w:pPr>
            <w:r>
              <w:rPr>
                <w:rFonts w:eastAsiaTheme="minorEastAsia"/>
                <w:color w:val="000000"/>
                <w:sz w:val="24"/>
                <w:szCs w:val="24"/>
              </w:rPr>
              <w:t>线上参与公司</w:t>
            </w:r>
            <w:r>
              <w:rPr>
                <w:rFonts w:eastAsiaTheme="minorEastAsia"/>
                <w:color w:val="000000"/>
                <w:sz w:val="24"/>
                <w:szCs w:val="24"/>
              </w:rPr>
              <w:t>2025</w:t>
            </w:r>
            <w:r>
              <w:rPr>
                <w:rFonts w:eastAsiaTheme="minorEastAsia"/>
                <w:color w:val="000000"/>
                <w:sz w:val="24"/>
                <w:szCs w:val="24"/>
              </w:rPr>
              <w:t>年</w:t>
            </w:r>
            <w:r>
              <w:rPr>
                <w:rFonts w:eastAsiaTheme="minorEastAsia" w:hint="eastAsia"/>
                <w:color w:val="000000"/>
                <w:sz w:val="24"/>
                <w:szCs w:val="24"/>
              </w:rPr>
              <w:t>半年度</w:t>
            </w:r>
            <w:r>
              <w:rPr>
                <w:rFonts w:eastAsiaTheme="minorEastAsia"/>
                <w:color w:val="000000"/>
                <w:sz w:val="24"/>
                <w:szCs w:val="24"/>
              </w:rPr>
              <w:t>业绩说明会的投资者</w:t>
            </w:r>
          </w:p>
        </w:tc>
      </w:tr>
      <w:tr w:rsidR="00FB4C1B" w14:paraId="5821ACC5" w14:textId="77777777">
        <w:trPr>
          <w:trHeight w:val="227"/>
        </w:trPr>
        <w:tc>
          <w:tcPr>
            <w:tcW w:w="1773" w:type="dxa"/>
            <w:vAlign w:val="center"/>
          </w:tcPr>
          <w:p w14:paraId="3B471803" w14:textId="77777777" w:rsidR="00FB4C1B" w:rsidRDefault="00000000">
            <w:pPr>
              <w:adjustRightInd w:val="0"/>
              <w:snapToGrid w:val="0"/>
              <w:spacing w:line="360" w:lineRule="auto"/>
              <w:rPr>
                <w:color w:val="000000"/>
                <w:sz w:val="24"/>
                <w:szCs w:val="24"/>
              </w:rPr>
            </w:pPr>
            <w:r>
              <w:rPr>
                <w:color w:val="000000"/>
                <w:sz w:val="24"/>
                <w:szCs w:val="24"/>
              </w:rPr>
              <w:t>活动时间</w:t>
            </w:r>
          </w:p>
        </w:tc>
        <w:tc>
          <w:tcPr>
            <w:tcW w:w="8909" w:type="dxa"/>
            <w:vAlign w:val="center"/>
          </w:tcPr>
          <w:p w14:paraId="317106E1" w14:textId="60BE66C2" w:rsidR="00FB4C1B" w:rsidRDefault="00000000">
            <w:pPr>
              <w:adjustRightInd w:val="0"/>
              <w:snapToGrid w:val="0"/>
              <w:spacing w:line="360" w:lineRule="auto"/>
              <w:rPr>
                <w:rFonts w:eastAsiaTheme="minorEastAsia"/>
                <w:color w:val="000000"/>
                <w:sz w:val="24"/>
                <w:szCs w:val="24"/>
              </w:rPr>
            </w:pPr>
            <w:r>
              <w:rPr>
                <w:rFonts w:eastAsiaTheme="minorEastAsia"/>
                <w:sz w:val="24"/>
                <w:szCs w:val="24"/>
              </w:rPr>
              <w:t>2025</w:t>
            </w:r>
            <w:r>
              <w:rPr>
                <w:rFonts w:eastAsiaTheme="minorEastAsia"/>
                <w:sz w:val="24"/>
                <w:szCs w:val="24"/>
              </w:rPr>
              <w:t>年</w:t>
            </w:r>
            <w:r>
              <w:rPr>
                <w:rFonts w:eastAsiaTheme="minorEastAsia"/>
                <w:sz w:val="24"/>
                <w:szCs w:val="24"/>
              </w:rPr>
              <w:t>0</w:t>
            </w:r>
            <w:r>
              <w:rPr>
                <w:rFonts w:eastAsiaTheme="minorEastAsia" w:hint="eastAsia"/>
                <w:sz w:val="24"/>
                <w:szCs w:val="24"/>
              </w:rPr>
              <w:t>9</w:t>
            </w:r>
            <w:r>
              <w:rPr>
                <w:rFonts w:eastAsiaTheme="minorEastAsia"/>
                <w:sz w:val="24"/>
                <w:szCs w:val="24"/>
              </w:rPr>
              <w:t>月</w:t>
            </w:r>
            <w:r>
              <w:rPr>
                <w:rFonts w:eastAsiaTheme="minorEastAsia" w:hint="eastAsia"/>
                <w:sz w:val="24"/>
                <w:szCs w:val="24"/>
              </w:rPr>
              <w:t>29</w:t>
            </w:r>
            <w:r>
              <w:rPr>
                <w:rFonts w:eastAsiaTheme="minorEastAsia"/>
                <w:sz w:val="24"/>
                <w:szCs w:val="24"/>
              </w:rPr>
              <w:t>日</w:t>
            </w:r>
            <w:r>
              <w:rPr>
                <w:rFonts w:eastAsiaTheme="minorEastAsia"/>
                <w:sz w:val="24"/>
                <w:szCs w:val="24"/>
              </w:rPr>
              <w:t>14:00-15:00</w:t>
            </w:r>
          </w:p>
        </w:tc>
      </w:tr>
      <w:tr w:rsidR="00FB4C1B" w14:paraId="07AAF69A" w14:textId="77777777">
        <w:trPr>
          <w:trHeight w:val="648"/>
        </w:trPr>
        <w:tc>
          <w:tcPr>
            <w:tcW w:w="1773" w:type="dxa"/>
            <w:vAlign w:val="center"/>
          </w:tcPr>
          <w:p w14:paraId="1EEDE2E7" w14:textId="77777777" w:rsidR="00FB4C1B" w:rsidRDefault="00000000">
            <w:pPr>
              <w:spacing w:line="480" w:lineRule="atLeast"/>
              <w:rPr>
                <w:color w:val="000000"/>
                <w:sz w:val="24"/>
                <w:szCs w:val="24"/>
              </w:rPr>
            </w:pPr>
            <w:r>
              <w:rPr>
                <w:color w:val="000000"/>
                <w:sz w:val="24"/>
                <w:szCs w:val="24"/>
              </w:rPr>
              <w:t>地点</w:t>
            </w:r>
          </w:p>
        </w:tc>
        <w:tc>
          <w:tcPr>
            <w:tcW w:w="8909" w:type="dxa"/>
            <w:vAlign w:val="center"/>
          </w:tcPr>
          <w:p w14:paraId="27266986" w14:textId="77777777" w:rsidR="00FB4C1B" w:rsidRDefault="00000000">
            <w:pPr>
              <w:adjustRightInd w:val="0"/>
              <w:snapToGrid w:val="0"/>
              <w:spacing w:line="360" w:lineRule="auto"/>
              <w:rPr>
                <w:rFonts w:eastAsiaTheme="minorEastAsia"/>
                <w:color w:val="000000"/>
                <w:sz w:val="24"/>
                <w:szCs w:val="24"/>
              </w:rPr>
            </w:pPr>
            <w:r>
              <w:rPr>
                <w:rFonts w:eastAsiaTheme="minorEastAsia"/>
                <w:sz w:val="24"/>
                <w:szCs w:val="24"/>
              </w:rPr>
              <w:t>价值在线（</w:t>
            </w:r>
            <w:r>
              <w:rPr>
                <w:rFonts w:eastAsiaTheme="minorEastAsia"/>
                <w:sz w:val="24"/>
                <w:szCs w:val="24"/>
              </w:rPr>
              <w:t>https://www.ir-online.cn/</w:t>
            </w:r>
            <w:r>
              <w:rPr>
                <w:rFonts w:eastAsiaTheme="minorEastAsia"/>
                <w:sz w:val="24"/>
                <w:szCs w:val="24"/>
              </w:rPr>
              <w:t>）网络互动</w:t>
            </w:r>
          </w:p>
        </w:tc>
      </w:tr>
      <w:tr w:rsidR="00FB4C1B" w14:paraId="7636247B" w14:textId="77777777">
        <w:trPr>
          <w:trHeight w:val="700"/>
        </w:trPr>
        <w:tc>
          <w:tcPr>
            <w:tcW w:w="1773" w:type="dxa"/>
            <w:vAlign w:val="center"/>
          </w:tcPr>
          <w:p w14:paraId="44C318E8" w14:textId="77777777" w:rsidR="00FB4C1B" w:rsidRDefault="00000000">
            <w:pPr>
              <w:spacing w:line="480" w:lineRule="atLeast"/>
              <w:rPr>
                <w:color w:val="000000"/>
                <w:sz w:val="24"/>
                <w:szCs w:val="24"/>
              </w:rPr>
            </w:pPr>
            <w:r>
              <w:rPr>
                <w:color w:val="000000"/>
                <w:sz w:val="24"/>
                <w:szCs w:val="24"/>
              </w:rPr>
              <w:t>上市公司接待人员姓名</w:t>
            </w:r>
          </w:p>
        </w:tc>
        <w:tc>
          <w:tcPr>
            <w:tcW w:w="8909" w:type="dxa"/>
            <w:vAlign w:val="center"/>
          </w:tcPr>
          <w:p w14:paraId="0B9F6782" w14:textId="77777777" w:rsidR="00FB4C1B" w:rsidRDefault="00000000">
            <w:pPr>
              <w:adjustRightInd w:val="0"/>
              <w:snapToGrid w:val="0"/>
              <w:spacing w:line="360" w:lineRule="auto"/>
              <w:rPr>
                <w:rFonts w:eastAsiaTheme="minorEastAsia"/>
                <w:sz w:val="24"/>
                <w:szCs w:val="24"/>
              </w:rPr>
            </w:pPr>
            <w:r>
              <w:rPr>
                <w:rFonts w:eastAsiaTheme="minorEastAsia"/>
                <w:sz w:val="24"/>
                <w:szCs w:val="24"/>
              </w:rPr>
              <w:t>董事长、总经理、财务总监</w:t>
            </w:r>
            <w:r>
              <w:rPr>
                <w:rFonts w:eastAsiaTheme="minorEastAsia"/>
                <w:sz w:val="24"/>
                <w:szCs w:val="24"/>
              </w:rPr>
              <w:t xml:space="preserve"> </w:t>
            </w:r>
            <w:r>
              <w:rPr>
                <w:rFonts w:eastAsiaTheme="minorEastAsia"/>
                <w:sz w:val="24"/>
                <w:szCs w:val="24"/>
              </w:rPr>
              <w:t>宗坚</w:t>
            </w:r>
          </w:p>
          <w:p w14:paraId="7D5296ED" w14:textId="77777777" w:rsidR="00FB4C1B" w:rsidRDefault="00000000">
            <w:pPr>
              <w:adjustRightInd w:val="0"/>
              <w:snapToGrid w:val="0"/>
              <w:spacing w:line="360" w:lineRule="auto"/>
              <w:rPr>
                <w:rFonts w:eastAsiaTheme="minorEastAsia"/>
                <w:sz w:val="24"/>
                <w:szCs w:val="24"/>
              </w:rPr>
            </w:pPr>
            <w:r>
              <w:rPr>
                <w:rFonts w:eastAsiaTheme="minorEastAsia"/>
                <w:sz w:val="24"/>
                <w:szCs w:val="24"/>
              </w:rPr>
              <w:t>董事、副总经理、董事会秘书</w:t>
            </w:r>
            <w:r>
              <w:rPr>
                <w:rFonts w:eastAsiaTheme="minorEastAsia"/>
                <w:sz w:val="24"/>
                <w:szCs w:val="24"/>
              </w:rPr>
              <w:t xml:space="preserve"> </w:t>
            </w:r>
            <w:r>
              <w:rPr>
                <w:rFonts w:eastAsiaTheme="minorEastAsia"/>
                <w:sz w:val="24"/>
                <w:szCs w:val="24"/>
              </w:rPr>
              <w:t>孙西林</w:t>
            </w:r>
          </w:p>
          <w:p w14:paraId="647504D8" w14:textId="77777777" w:rsidR="00FB4C1B" w:rsidRDefault="00000000">
            <w:pPr>
              <w:adjustRightInd w:val="0"/>
              <w:snapToGrid w:val="0"/>
              <w:spacing w:line="360" w:lineRule="auto"/>
              <w:rPr>
                <w:rFonts w:eastAsiaTheme="minorEastAsia"/>
                <w:sz w:val="24"/>
                <w:szCs w:val="24"/>
              </w:rPr>
            </w:pPr>
            <w:r>
              <w:rPr>
                <w:rFonts w:eastAsiaTheme="minorEastAsia"/>
                <w:sz w:val="24"/>
                <w:szCs w:val="24"/>
              </w:rPr>
              <w:t>独立董事</w:t>
            </w:r>
            <w:r>
              <w:rPr>
                <w:rFonts w:eastAsiaTheme="minorEastAsia"/>
                <w:sz w:val="24"/>
                <w:szCs w:val="24"/>
              </w:rPr>
              <w:t xml:space="preserve"> </w:t>
            </w:r>
            <w:r>
              <w:rPr>
                <w:rFonts w:eastAsiaTheme="minorEastAsia"/>
                <w:sz w:val="24"/>
                <w:szCs w:val="24"/>
              </w:rPr>
              <w:t>童越</w:t>
            </w:r>
          </w:p>
          <w:p w14:paraId="7847D152" w14:textId="77777777" w:rsidR="00FB4C1B" w:rsidRDefault="00000000">
            <w:pPr>
              <w:adjustRightInd w:val="0"/>
              <w:snapToGrid w:val="0"/>
              <w:spacing w:line="360" w:lineRule="auto"/>
              <w:rPr>
                <w:rFonts w:eastAsiaTheme="minorEastAsia"/>
                <w:color w:val="000000"/>
                <w:sz w:val="24"/>
                <w:szCs w:val="24"/>
              </w:rPr>
            </w:pPr>
            <w:r>
              <w:rPr>
                <w:rFonts w:eastAsiaTheme="minorEastAsia"/>
                <w:sz w:val="24"/>
                <w:szCs w:val="24"/>
              </w:rPr>
              <w:t>保荐代表人</w:t>
            </w:r>
            <w:r>
              <w:rPr>
                <w:rFonts w:eastAsiaTheme="minorEastAsia"/>
                <w:sz w:val="24"/>
                <w:szCs w:val="24"/>
              </w:rPr>
              <w:t xml:space="preserve"> </w:t>
            </w:r>
            <w:r>
              <w:rPr>
                <w:rFonts w:eastAsiaTheme="minorEastAsia"/>
                <w:sz w:val="24"/>
                <w:szCs w:val="24"/>
              </w:rPr>
              <w:t>莫永伟</w:t>
            </w:r>
          </w:p>
        </w:tc>
      </w:tr>
      <w:tr w:rsidR="00FB4C1B" w14:paraId="377FF46D" w14:textId="77777777">
        <w:trPr>
          <w:trHeight w:val="3956"/>
        </w:trPr>
        <w:tc>
          <w:tcPr>
            <w:tcW w:w="1773" w:type="dxa"/>
            <w:vAlign w:val="center"/>
          </w:tcPr>
          <w:p w14:paraId="16227FE4" w14:textId="77777777" w:rsidR="00FB4C1B" w:rsidRDefault="00000000">
            <w:pPr>
              <w:spacing w:line="480" w:lineRule="atLeast"/>
              <w:rPr>
                <w:color w:val="000000"/>
                <w:sz w:val="24"/>
                <w:szCs w:val="24"/>
              </w:rPr>
            </w:pPr>
            <w:r>
              <w:rPr>
                <w:color w:val="000000"/>
                <w:sz w:val="24"/>
                <w:szCs w:val="24"/>
              </w:rPr>
              <w:t>投资者关系活动主要内容介绍</w:t>
            </w:r>
          </w:p>
        </w:tc>
        <w:tc>
          <w:tcPr>
            <w:tcW w:w="8909" w:type="dxa"/>
          </w:tcPr>
          <w:p w14:paraId="44911562"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1.</w:t>
            </w:r>
            <w:r w:rsidRPr="004F18A4">
              <w:rPr>
                <w:rFonts w:eastAsiaTheme="minorEastAsia" w:hint="eastAsia"/>
                <w:b/>
                <w:color w:val="000000"/>
                <w:sz w:val="24"/>
                <w:szCs w:val="24"/>
              </w:rPr>
              <w:t>我看菲沃特历史上没有分红，以后会有分红吗？</w:t>
            </w:r>
          </w:p>
          <w:p w14:paraId="0CEE3C5A"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公司高度重视对投资者的合理投资回报，自上市以来，公司制定了《未来三年（</w:t>
            </w:r>
            <w:r>
              <w:rPr>
                <w:rFonts w:eastAsiaTheme="minorEastAsia" w:hint="eastAsia"/>
                <w:bCs/>
                <w:color w:val="000000"/>
                <w:sz w:val="24"/>
                <w:szCs w:val="24"/>
              </w:rPr>
              <w:t>2024-2026</w:t>
            </w:r>
            <w:r>
              <w:rPr>
                <w:rFonts w:eastAsiaTheme="minorEastAsia" w:hint="eastAsia"/>
                <w:bCs/>
                <w:color w:val="000000"/>
                <w:sz w:val="24"/>
                <w:szCs w:val="24"/>
              </w:rPr>
              <w:t>年）股东分红回报规划》，以保证利润分配政策的连续性和稳定性。根据《上市公司股份回购规则》《上海证券交易所上市公司自律监管指引第</w:t>
            </w:r>
            <w:r>
              <w:rPr>
                <w:rFonts w:eastAsiaTheme="minorEastAsia" w:hint="eastAsia"/>
                <w:bCs/>
                <w:color w:val="000000"/>
                <w:sz w:val="24"/>
                <w:szCs w:val="24"/>
              </w:rPr>
              <w:t>7</w:t>
            </w:r>
            <w:r>
              <w:rPr>
                <w:rFonts w:eastAsiaTheme="minorEastAsia" w:hint="eastAsia"/>
                <w:bCs/>
                <w:color w:val="000000"/>
                <w:sz w:val="24"/>
                <w:szCs w:val="24"/>
              </w:rPr>
              <w:t>号——回购股份》等相关规定，上述回购金额视同现金分红，纳入现金分红的相关比例计算。上市以来，公司在</w:t>
            </w:r>
            <w:r>
              <w:rPr>
                <w:rFonts w:eastAsiaTheme="minorEastAsia" w:hint="eastAsia"/>
                <w:bCs/>
                <w:color w:val="000000"/>
                <w:sz w:val="24"/>
                <w:szCs w:val="24"/>
              </w:rPr>
              <w:t>2024</w:t>
            </w:r>
            <w:r>
              <w:rPr>
                <w:rFonts w:eastAsiaTheme="minorEastAsia" w:hint="eastAsia"/>
                <w:bCs/>
                <w:color w:val="000000"/>
                <w:sz w:val="24"/>
                <w:szCs w:val="24"/>
              </w:rPr>
              <w:t>年通过上海证券交易所交易系统以集中竞价交易方式累计回购公司股份</w:t>
            </w:r>
            <w:r>
              <w:rPr>
                <w:rFonts w:eastAsiaTheme="minorEastAsia" w:hint="eastAsia"/>
                <w:bCs/>
                <w:color w:val="000000"/>
                <w:sz w:val="24"/>
                <w:szCs w:val="24"/>
              </w:rPr>
              <w:t>9,386,048</w:t>
            </w:r>
            <w:r>
              <w:rPr>
                <w:rFonts w:eastAsiaTheme="minorEastAsia" w:hint="eastAsia"/>
                <w:bCs/>
                <w:color w:val="000000"/>
                <w:sz w:val="24"/>
                <w:szCs w:val="24"/>
              </w:rPr>
              <w:t>股，支付的资金总额为人民币</w:t>
            </w:r>
            <w:r>
              <w:rPr>
                <w:rFonts w:eastAsiaTheme="minorEastAsia" w:hint="eastAsia"/>
                <w:bCs/>
                <w:color w:val="000000"/>
                <w:sz w:val="24"/>
                <w:szCs w:val="24"/>
              </w:rPr>
              <w:t>99,947,613.71</w:t>
            </w:r>
            <w:r>
              <w:rPr>
                <w:rFonts w:eastAsiaTheme="minorEastAsia" w:hint="eastAsia"/>
                <w:bCs/>
                <w:color w:val="000000"/>
                <w:sz w:val="24"/>
                <w:szCs w:val="24"/>
              </w:rPr>
              <w:t>元。</w:t>
            </w:r>
            <w:r>
              <w:rPr>
                <w:rFonts w:eastAsiaTheme="minorEastAsia" w:hint="eastAsia"/>
                <w:bCs/>
                <w:color w:val="000000"/>
                <w:sz w:val="24"/>
                <w:szCs w:val="24"/>
              </w:rPr>
              <w:t>2025</w:t>
            </w:r>
            <w:r>
              <w:rPr>
                <w:rFonts w:eastAsiaTheme="minorEastAsia" w:hint="eastAsia"/>
                <w:bCs/>
                <w:color w:val="000000"/>
                <w:sz w:val="24"/>
                <w:szCs w:val="24"/>
              </w:rPr>
              <w:t>年上半年，公司第二期股份回购计划已完成，公司通过上海证券交易所交易系统以集中竞价交易方式累计回购公司股份</w:t>
            </w:r>
            <w:r>
              <w:rPr>
                <w:rFonts w:eastAsiaTheme="minorEastAsia" w:hint="eastAsia"/>
                <w:bCs/>
                <w:color w:val="000000"/>
                <w:sz w:val="24"/>
                <w:szCs w:val="24"/>
              </w:rPr>
              <w:t>4,658,312</w:t>
            </w:r>
            <w:r>
              <w:rPr>
                <w:rFonts w:eastAsiaTheme="minorEastAsia" w:hint="eastAsia"/>
                <w:bCs/>
                <w:color w:val="000000"/>
                <w:sz w:val="24"/>
                <w:szCs w:val="24"/>
              </w:rPr>
              <w:t>股，支付的资金总额为人民币</w:t>
            </w:r>
            <w:r>
              <w:rPr>
                <w:rFonts w:eastAsiaTheme="minorEastAsia" w:hint="eastAsia"/>
                <w:bCs/>
                <w:color w:val="000000"/>
                <w:sz w:val="24"/>
                <w:szCs w:val="24"/>
              </w:rPr>
              <w:t>50,202,577.62</w:t>
            </w:r>
            <w:r>
              <w:rPr>
                <w:rFonts w:eastAsiaTheme="minorEastAsia" w:hint="eastAsia"/>
                <w:bCs/>
                <w:color w:val="000000"/>
                <w:sz w:val="24"/>
                <w:szCs w:val="24"/>
              </w:rPr>
              <w:t>元。</w:t>
            </w:r>
          </w:p>
          <w:p w14:paraId="2A8E03D1"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2.</w:t>
            </w:r>
            <w:r w:rsidRPr="004F18A4">
              <w:rPr>
                <w:rFonts w:eastAsiaTheme="minorEastAsia" w:hint="eastAsia"/>
                <w:b/>
                <w:color w:val="000000"/>
                <w:sz w:val="24"/>
                <w:szCs w:val="24"/>
              </w:rPr>
              <w:t>公司真空镀膜技术、对</w:t>
            </w:r>
            <w:r w:rsidRPr="004F18A4">
              <w:rPr>
                <w:rFonts w:eastAsiaTheme="minorEastAsia" w:hint="eastAsia"/>
                <w:b/>
                <w:color w:val="000000"/>
                <w:sz w:val="24"/>
                <w:szCs w:val="24"/>
              </w:rPr>
              <w:t>PCBA</w:t>
            </w:r>
            <w:r w:rsidRPr="004F18A4">
              <w:rPr>
                <w:rFonts w:eastAsiaTheme="minorEastAsia" w:hint="eastAsia"/>
                <w:b/>
                <w:color w:val="000000"/>
                <w:sz w:val="24"/>
                <w:szCs w:val="24"/>
              </w:rPr>
              <w:t>等部件处理有大规模应用前景吗？有和重要生产公司的合作协议吗？谢谢</w:t>
            </w:r>
          </w:p>
          <w:p w14:paraId="25352878"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公司技术已经广泛应用于消费电子、汽车、医疗、工业控制等行业头部企业</w:t>
            </w:r>
            <w:r>
              <w:rPr>
                <w:rFonts w:eastAsiaTheme="minorEastAsia" w:hint="eastAsia"/>
                <w:bCs/>
                <w:color w:val="000000"/>
                <w:sz w:val="24"/>
                <w:szCs w:val="24"/>
              </w:rPr>
              <w:lastRenderedPageBreak/>
              <w:t>的各类</w:t>
            </w:r>
            <w:r>
              <w:rPr>
                <w:rFonts w:eastAsiaTheme="minorEastAsia" w:hint="eastAsia"/>
                <w:bCs/>
                <w:color w:val="000000"/>
                <w:sz w:val="24"/>
                <w:szCs w:val="24"/>
              </w:rPr>
              <w:t>PCBA</w:t>
            </w:r>
            <w:r>
              <w:rPr>
                <w:rFonts w:eastAsiaTheme="minorEastAsia" w:hint="eastAsia"/>
                <w:bCs/>
                <w:color w:val="000000"/>
                <w:sz w:val="24"/>
                <w:szCs w:val="24"/>
              </w:rPr>
              <w:t>防护，并获得客户广泛认可。</w:t>
            </w:r>
          </w:p>
          <w:p w14:paraId="035E3846"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3.</w:t>
            </w:r>
            <w:r w:rsidRPr="004F18A4">
              <w:rPr>
                <w:rFonts w:eastAsiaTheme="minorEastAsia" w:hint="eastAsia"/>
                <w:b/>
                <w:color w:val="000000"/>
                <w:sz w:val="24"/>
                <w:szCs w:val="24"/>
              </w:rPr>
              <w:t>公司</w:t>
            </w:r>
            <w:r w:rsidRPr="004F18A4">
              <w:rPr>
                <w:rFonts w:eastAsiaTheme="minorEastAsia" w:hint="eastAsia"/>
                <w:b/>
                <w:color w:val="000000"/>
                <w:sz w:val="24"/>
                <w:szCs w:val="24"/>
              </w:rPr>
              <w:t>2025</w:t>
            </w:r>
            <w:r w:rsidRPr="004F18A4">
              <w:rPr>
                <w:rFonts w:eastAsiaTheme="minorEastAsia" w:hint="eastAsia"/>
                <w:b/>
                <w:color w:val="000000"/>
                <w:sz w:val="24"/>
                <w:szCs w:val="24"/>
              </w:rPr>
              <w:t>年上半年营收、净利润双双增长的主要原因是什么？</w:t>
            </w:r>
          </w:p>
          <w:p w14:paraId="50A17D24"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:2025</w:t>
            </w:r>
            <w:r>
              <w:rPr>
                <w:rFonts w:eastAsiaTheme="minorEastAsia" w:hint="eastAsia"/>
                <w:bCs/>
                <w:color w:val="000000"/>
                <w:sz w:val="24"/>
                <w:szCs w:val="24"/>
              </w:rPr>
              <w:t>年上半年，公司实现营业收入</w:t>
            </w:r>
            <w:r>
              <w:rPr>
                <w:rFonts w:eastAsiaTheme="minorEastAsia" w:hint="eastAsia"/>
                <w:bCs/>
                <w:color w:val="000000"/>
                <w:sz w:val="24"/>
                <w:szCs w:val="24"/>
              </w:rPr>
              <w:t>22,877.65</w:t>
            </w:r>
            <w:r>
              <w:rPr>
                <w:rFonts w:eastAsiaTheme="minorEastAsia" w:hint="eastAsia"/>
                <w:bCs/>
                <w:color w:val="000000"/>
                <w:sz w:val="24"/>
                <w:szCs w:val="24"/>
              </w:rPr>
              <w:t>万元，同比增长</w:t>
            </w:r>
            <w:r>
              <w:rPr>
                <w:rFonts w:eastAsiaTheme="minorEastAsia" w:hint="eastAsia"/>
                <w:bCs/>
                <w:color w:val="000000"/>
                <w:sz w:val="24"/>
                <w:szCs w:val="24"/>
              </w:rPr>
              <w:t>6.95%</w:t>
            </w:r>
            <w:r>
              <w:rPr>
                <w:rFonts w:eastAsiaTheme="minorEastAsia" w:hint="eastAsia"/>
                <w:bCs/>
                <w:color w:val="000000"/>
                <w:sz w:val="24"/>
                <w:szCs w:val="24"/>
              </w:rPr>
              <w:t>；实现归属于母公司所有者的净利润</w:t>
            </w:r>
            <w:r>
              <w:rPr>
                <w:rFonts w:eastAsiaTheme="minorEastAsia" w:hint="eastAsia"/>
                <w:bCs/>
                <w:color w:val="000000"/>
                <w:sz w:val="24"/>
                <w:szCs w:val="24"/>
              </w:rPr>
              <w:t>1,671.35</w:t>
            </w:r>
            <w:r>
              <w:rPr>
                <w:rFonts w:eastAsiaTheme="minorEastAsia" w:hint="eastAsia"/>
                <w:bCs/>
                <w:color w:val="000000"/>
                <w:sz w:val="24"/>
                <w:szCs w:val="24"/>
              </w:rPr>
              <w:t>万元，同比增加</w:t>
            </w:r>
            <w:r>
              <w:rPr>
                <w:rFonts w:eastAsiaTheme="minorEastAsia" w:hint="eastAsia"/>
                <w:bCs/>
                <w:color w:val="000000"/>
                <w:sz w:val="24"/>
                <w:szCs w:val="24"/>
              </w:rPr>
              <w:t>7.74%</w:t>
            </w:r>
            <w:r>
              <w:rPr>
                <w:rFonts w:eastAsiaTheme="minorEastAsia" w:hint="eastAsia"/>
                <w:bCs/>
                <w:color w:val="000000"/>
                <w:sz w:val="24"/>
                <w:szCs w:val="24"/>
              </w:rPr>
              <w:t>；实现扣除股份支付影响后的净利润</w:t>
            </w:r>
            <w:r>
              <w:rPr>
                <w:rFonts w:eastAsiaTheme="minorEastAsia" w:hint="eastAsia"/>
                <w:bCs/>
                <w:color w:val="000000"/>
                <w:sz w:val="24"/>
                <w:szCs w:val="24"/>
              </w:rPr>
              <w:t>1,910.46</w:t>
            </w:r>
            <w:r>
              <w:rPr>
                <w:rFonts w:eastAsiaTheme="minorEastAsia" w:hint="eastAsia"/>
                <w:bCs/>
                <w:color w:val="000000"/>
                <w:sz w:val="24"/>
                <w:szCs w:val="24"/>
              </w:rPr>
              <w:t>万元，同比增长</w:t>
            </w:r>
            <w:r>
              <w:rPr>
                <w:rFonts w:eastAsiaTheme="minorEastAsia" w:hint="eastAsia"/>
                <w:bCs/>
                <w:color w:val="000000"/>
                <w:sz w:val="24"/>
                <w:szCs w:val="24"/>
              </w:rPr>
              <w:t>8.92%</w:t>
            </w:r>
            <w:r>
              <w:rPr>
                <w:rFonts w:eastAsiaTheme="minorEastAsia" w:hint="eastAsia"/>
                <w:bCs/>
                <w:color w:val="000000"/>
                <w:sz w:val="24"/>
                <w:szCs w:val="24"/>
              </w:rPr>
              <w:t>；公司经营活动产生的现金流量净额为</w:t>
            </w:r>
            <w:r>
              <w:rPr>
                <w:rFonts w:eastAsiaTheme="minorEastAsia" w:hint="eastAsia"/>
                <w:bCs/>
                <w:color w:val="000000"/>
                <w:sz w:val="24"/>
                <w:szCs w:val="24"/>
              </w:rPr>
              <w:t>2,030.16</w:t>
            </w:r>
            <w:r>
              <w:rPr>
                <w:rFonts w:eastAsiaTheme="minorEastAsia" w:hint="eastAsia"/>
                <w:bCs/>
                <w:color w:val="000000"/>
                <w:sz w:val="24"/>
                <w:szCs w:val="24"/>
              </w:rPr>
              <w:t>万元，同比增长</w:t>
            </w:r>
            <w:r>
              <w:rPr>
                <w:rFonts w:eastAsiaTheme="minorEastAsia" w:hint="eastAsia"/>
                <w:bCs/>
                <w:color w:val="000000"/>
                <w:sz w:val="24"/>
                <w:szCs w:val="24"/>
              </w:rPr>
              <w:t>66.67%</w:t>
            </w:r>
            <w:r>
              <w:rPr>
                <w:rFonts w:eastAsiaTheme="minorEastAsia" w:hint="eastAsia"/>
                <w:bCs/>
                <w:color w:val="000000"/>
                <w:sz w:val="24"/>
                <w:szCs w:val="24"/>
              </w:rPr>
              <w:t>。</w:t>
            </w:r>
          </w:p>
          <w:p w14:paraId="5E4AB241" w14:textId="037919B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随着人工智能创新技术驱动、用户消费升级及新兴场景拓展，智能手机、可穿戴设备等消费电子市场呈现终端需求的持续回暖的态势，行业未来增长预期正在进一步重塑。终端市场的回暖为公司业务带来了新的机遇和挑战，公司紧跟行业发展趋势并聚焦探索市场需求，围绕长期发展战略和年度经营目标，积极筹划并寻找更多的新市场新客户机会，夯实现有产品的技术升级和市场布局，并持续加大新技术开发和自主创新力度。</w:t>
            </w:r>
            <w:r>
              <w:rPr>
                <w:rFonts w:eastAsiaTheme="minorEastAsia" w:hint="eastAsia"/>
                <w:bCs/>
                <w:color w:val="000000"/>
                <w:sz w:val="24"/>
                <w:szCs w:val="24"/>
              </w:rPr>
              <w:t>2025</w:t>
            </w:r>
            <w:r>
              <w:rPr>
                <w:rFonts w:eastAsiaTheme="minorEastAsia" w:hint="eastAsia"/>
                <w:bCs/>
                <w:color w:val="000000"/>
                <w:sz w:val="24"/>
                <w:szCs w:val="24"/>
              </w:rPr>
              <w:t>年上半年，公司坚持以“高性能多功能纳米表面改性领域的领导者”为愿景指引战略布局，踔厉奋发，稳健经营，经营业绩稳步增长。通过不同类型防护功能的“混搭”设计与镀膜装备的协同优化，凭借卓越的三大功能（防护、增性、改性），公司针对市场需求不断开发高性</w:t>
            </w:r>
            <w:r w:rsidR="006112DA">
              <w:rPr>
                <w:rFonts w:eastAsiaTheme="minorEastAsia" w:hint="eastAsia"/>
                <w:bCs/>
                <w:color w:val="000000"/>
                <w:sz w:val="24"/>
                <w:szCs w:val="24"/>
              </w:rPr>
              <w:t>-</w:t>
            </w:r>
            <w:r>
              <w:rPr>
                <w:rFonts w:eastAsiaTheme="minorEastAsia" w:hint="eastAsia"/>
                <w:bCs/>
                <w:color w:val="000000"/>
                <w:sz w:val="24"/>
                <w:szCs w:val="24"/>
              </w:rPr>
              <w:t>能、多功能的纳米薄膜产品，在继续保持消费电子领域市场优势的前提下，拓展在汽车电子、医疗器械、光电显示、智能家电、新能源、数据中心等多元下游市场的应用。</w:t>
            </w:r>
          </w:p>
          <w:p w14:paraId="72A56231"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4.</w:t>
            </w:r>
            <w:r w:rsidRPr="004F18A4">
              <w:rPr>
                <w:rFonts w:eastAsiaTheme="minorEastAsia" w:hint="eastAsia"/>
                <w:b/>
                <w:color w:val="000000"/>
                <w:sz w:val="24"/>
                <w:szCs w:val="24"/>
              </w:rPr>
              <w:t>贵公司的业务有新的拓展？</w:t>
            </w:r>
          </w:p>
          <w:p w14:paraId="4DB4F84C"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报告期内，公司针对市场需求不断开发高性能、多功能的纳米薄膜产品，在继续保持消费电子领域市场优势的前提下，拓展在汽车电子、医疗器械、光电显示、智能家电、新能源、数据中心等多元下游市场的应用，目前均已取得一定进展。</w:t>
            </w:r>
          </w:p>
          <w:p w14:paraId="32A6573F"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 xml:space="preserve">  5.</w:t>
            </w:r>
            <w:r w:rsidRPr="004F18A4">
              <w:rPr>
                <w:rFonts w:eastAsiaTheme="minorEastAsia" w:hint="eastAsia"/>
                <w:b/>
                <w:color w:val="000000"/>
                <w:sz w:val="24"/>
                <w:szCs w:val="24"/>
              </w:rPr>
              <w:t>公司全球化战略布局有什么进展吗？</w:t>
            </w:r>
          </w:p>
          <w:p w14:paraId="326DEB59"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着眼于全球化发展蓝图，制定了全方位、可持续的发展战略。目前，公司在香港、美国、越南等地设有子公司，此外，随着与头部客户的深度合作，业务已进军塞尔维亚、印度、马来西亚、巴基斯坦、土耳其等经济体。</w:t>
            </w:r>
          </w:p>
          <w:p w14:paraId="3DEA788B"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2025</w:t>
            </w:r>
            <w:r>
              <w:rPr>
                <w:rFonts w:eastAsiaTheme="minorEastAsia" w:hint="eastAsia"/>
                <w:bCs/>
                <w:color w:val="000000"/>
                <w:sz w:val="24"/>
                <w:szCs w:val="24"/>
              </w:rPr>
              <w:t>年</w:t>
            </w:r>
            <w:r>
              <w:rPr>
                <w:rFonts w:eastAsiaTheme="minorEastAsia" w:hint="eastAsia"/>
                <w:bCs/>
                <w:color w:val="000000"/>
                <w:sz w:val="24"/>
                <w:szCs w:val="24"/>
              </w:rPr>
              <w:t>7</w:t>
            </w:r>
            <w:r>
              <w:rPr>
                <w:rFonts w:eastAsiaTheme="minorEastAsia" w:hint="eastAsia"/>
                <w:bCs/>
                <w:color w:val="000000"/>
                <w:sz w:val="24"/>
                <w:szCs w:val="24"/>
              </w:rPr>
              <w:t>月，公司与上海盛永国际贸易有限公司签订战略合作协议，将以领先的纳米薄膜技术与上海盛永成熟的本地化运营能力深度融合，快速构建覆盖日韩市场的销售与服务网络。公司已为持续开拓国际战略布局做好了充分准备，有望打开长期成长空间。</w:t>
            </w:r>
          </w:p>
          <w:p w14:paraId="671F43B6"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6.</w:t>
            </w:r>
            <w:r w:rsidRPr="004F18A4">
              <w:rPr>
                <w:rFonts w:eastAsiaTheme="minorEastAsia" w:hint="eastAsia"/>
                <w:b/>
                <w:color w:val="000000"/>
                <w:sz w:val="24"/>
                <w:szCs w:val="24"/>
              </w:rPr>
              <w:t>讲讲公司产品在液冷服务器上的应用？</w:t>
            </w:r>
          </w:p>
          <w:p w14:paraId="35758771"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lastRenderedPageBreak/>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目前，公司产品在液冷服务器上已有量产案例。公司创新自研了新一代</w:t>
            </w:r>
            <w:r>
              <w:rPr>
                <w:rFonts w:eastAsiaTheme="minorEastAsia" w:hint="eastAsia"/>
                <w:bCs/>
                <w:color w:val="000000"/>
                <w:sz w:val="24"/>
                <w:szCs w:val="24"/>
              </w:rPr>
              <w:t>FTX1000E</w:t>
            </w:r>
            <w:r>
              <w:rPr>
                <w:rFonts w:eastAsiaTheme="minorEastAsia" w:hint="eastAsia"/>
                <w:bCs/>
                <w:color w:val="000000"/>
                <w:sz w:val="24"/>
                <w:szCs w:val="24"/>
              </w:rPr>
              <w:t>设备，成功将</w:t>
            </w:r>
            <w:r>
              <w:rPr>
                <w:rFonts w:eastAsiaTheme="minorEastAsia" w:hint="eastAsia"/>
                <w:bCs/>
                <w:color w:val="000000"/>
                <w:sz w:val="24"/>
                <w:szCs w:val="24"/>
              </w:rPr>
              <w:t>PECVD</w:t>
            </w:r>
            <w:r>
              <w:rPr>
                <w:rFonts w:eastAsiaTheme="minorEastAsia" w:hint="eastAsia"/>
                <w:bCs/>
                <w:color w:val="000000"/>
                <w:sz w:val="24"/>
                <w:szCs w:val="24"/>
              </w:rPr>
              <w:t>工艺与</w:t>
            </w:r>
            <w:r>
              <w:rPr>
                <w:rFonts w:eastAsiaTheme="minorEastAsia" w:hint="eastAsia"/>
                <w:bCs/>
                <w:color w:val="000000"/>
                <w:sz w:val="24"/>
                <w:szCs w:val="24"/>
              </w:rPr>
              <w:t>CVD</w:t>
            </w:r>
            <w:r>
              <w:rPr>
                <w:rFonts w:eastAsiaTheme="minorEastAsia" w:hint="eastAsia"/>
                <w:bCs/>
                <w:color w:val="000000"/>
                <w:sz w:val="24"/>
                <w:szCs w:val="24"/>
              </w:rPr>
              <w:t>工艺相融合，并制备耐电压防腐蚀膜层。该种膜层能够在服务器关键部件（如电源模块、算力大板、光模块等）的表面形成保护层，极大增强元器件的耐腐蚀性，使其能够在矿物油中长时间工作而不受损害，还能有效传导热量，确保服务器在高温环境下稳定运行。</w:t>
            </w:r>
          </w:p>
          <w:p w14:paraId="78D9CA39"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7.</w:t>
            </w:r>
            <w:r w:rsidRPr="004F18A4">
              <w:rPr>
                <w:rFonts w:eastAsiaTheme="minorEastAsia" w:hint="eastAsia"/>
                <w:b/>
                <w:color w:val="000000"/>
                <w:sz w:val="24"/>
                <w:szCs w:val="24"/>
              </w:rPr>
              <w:t>公司在</w:t>
            </w:r>
            <w:r w:rsidRPr="004F18A4">
              <w:rPr>
                <w:rFonts w:eastAsiaTheme="minorEastAsia" w:hint="eastAsia"/>
                <w:b/>
                <w:color w:val="000000"/>
                <w:sz w:val="24"/>
                <w:szCs w:val="24"/>
              </w:rPr>
              <w:t>AI</w:t>
            </w:r>
            <w:r w:rsidRPr="004F18A4">
              <w:rPr>
                <w:rFonts w:eastAsiaTheme="minorEastAsia" w:hint="eastAsia"/>
                <w:b/>
                <w:color w:val="000000"/>
                <w:sz w:val="24"/>
                <w:szCs w:val="24"/>
              </w:rPr>
              <w:t>方向有什么具体的布局吗？</w:t>
            </w:r>
          </w:p>
          <w:p w14:paraId="562FD42F"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w:t>
            </w:r>
            <w:r>
              <w:rPr>
                <w:rFonts w:eastAsiaTheme="minorEastAsia" w:hint="eastAsia"/>
                <w:bCs/>
                <w:color w:val="000000"/>
                <w:sz w:val="24"/>
                <w:szCs w:val="24"/>
              </w:rPr>
              <w:t>1</w:t>
            </w:r>
            <w:r>
              <w:rPr>
                <w:rFonts w:eastAsiaTheme="minorEastAsia" w:hint="eastAsia"/>
                <w:bCs/>
                <w:color w:val="000000"/>
                <w:sz w:val="24"/>
                <w:szCs w:val="24"/>
              </w:rPr>
              <w:t>）公司膜层产品能很好地适配</w:t>
            </w:r>
            <w:r>
              <w:rPr>
                <w:rFonts w:eastAsiaTheme="minorEastAsia" w:hint="eastAsia"/>
                <w:bCs/>
                <w:color w:val="000000"/>
                <w:sz w:val="24"/>
                <w:szCs w:val="24"/>
              </w:rPr>
              <w:t>AI</w:t>
            </w:r>
            <w:r>
              <w:rPr>
                <w:rFonts w:eastAsiaTheme="minorEastAsia" w:hint="eastAsia"/>
                <w:bCs/>
                <w:color w:val="000000"/>
                <w:sz w:val="24"/>
                <w:szCs w:val="24"/>
              </w:rPr>
              <w:t>眼镜、智能耳机和手表等端侧设备，目前，公司已进入多家行业头部厂商相关产品的供应链；</w:t>
            </w:r>
          </w:p>
          <w:p w14:paraId="03EBE313"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w:t>
            </w:r>
            <w:r>
              <w:rPr>
                <w:rFonts w:eastAsiaTheme="minorEastAsia" w:hint="eastAsia"/>
                <w:bCs/>
                <w:color w:val="000000"/>
                <w:sz w:val="24"/>
                <w:szCs w:val="24"/>
              </w:rPr>
              <w:t>2</w:t>
            </w:r>
            <w:r>
              <w:rPr>
                <w:rFonts w:eastAsiaTheme="minorEastAsia" w:hint="eastAsia"/>
                <w:bCs/>
                <w:color w:val="000000"/>
                <w:sz w:val="24"/>
                <w:szCs w:val="24"/>
              </w:rPr>
              <w:t>）随着人工智能、大数据等技术的快速发展，服务器的算力需求呈指数级增长，这不仅对服务器的散热性能提出了更高要求，也使得服务器内部的电子元件更容易受到高温、潮湿、灰尘等环境因素的影响，从而影响其性能和可靠性。公司技术团队运用</w:t>
            </w:r>
            <w:r>
              <w:rPr>
                <w:rFonts w:eastAsiaTheme="minorEastAsia" w:hint="eastAsia"/>
                <w:bCs/>
                <w:color w:val="000000"/>
                <w:sz w:val="24"/>
                <w:szCs w:val="24"/>
              </w:rPr>
              <w:t>PECVD</w:t>
            </w:r>
            <w:r>
              <w:rPr>
                <w:rFonts w:eastAsiaTheme="minorEastAsia" w:hint="eastAsia"/>
                <w:bCs/>
                <w:color w:val="000000"/>
                <w:sz w:val="24"/>
                <w:szCs w:val="24"/>
              </w:rPr>
              <w:t>和</w:t>
            </w:r>
            <w:r>
              <w:rPr>
                <w:rFonts w:eastAsiaTheme="minorEastAsia" w:hint="eastAsia"/>
                <w:bCs/>
                <w:color w:val="000000"/>
                <w:sz w:val="24"/>
                <w:szCs w:val="24"/>
              </w:rPr>
              <w:t>CVD</w:t>
            </w:r>
            <w:r>
              <w:rPr>
                <w:rFonts w:eastAsiaTheme="minorEastAsia" w:hint="eastAsia"/>
                <w:bCs/>
                <w:color w:val="000000"/>
                <w:sz w:val="24"/>
                <w:szCs w:val="24"/>
              </w:rPr>
              <w:t>耦合真空镀膜技术，对被浸没的</w:t>
            </w:r>
            <w:r>
              <w:rPr>
                <w:rFonts w:eastAsiaTheme="minorEastAsia" w:hint="eastAsia"/>
                <w:bCs/>
                <w:color w:val="000000"/>
                <w:sz w:val="24"/>
                <w:szCs w:val="24"/>
              </w:rPr>
              <w:t>PCBA</w:t>
            </w:r>
            <w:r>
              <w:rPr>
                <w:rFonts w:eastAsiaTheme="minorEastAsia" w:hint="eastAsia"/>
                <w:bCs/>
                <w:color w:val="000000"/>
                <w:sz w:val="24"/>
                <w:szCs w:val="24"/>
              </w:rPr>
              <w:t>等部件，使单体材料在元件内部、底部和周围沉积并固化成无针孔、厚度均匀的透明绝缘涂层，给元件提供一个完整的优质防护涂层，并利用纳米材料在微观结构下覆形生长的特性，精准附着于产品表面，有效避免因镀膜不均匀而导致的防护漏洞，保证</w:t>
            </w:r>
            <w:r>
              <w:rPr>
                <w:rFonts w:eastAsiaTheme="minorEastAsia" w:hint="eastAsia"/>
                <w:bCs/>
                <w:color w:val="000000"/>
                <w:sz w:val="24"/>
                <w:szCs w:val="24"/>
              </w:rPr>
              <w:t>360</w:t>
            </w:r>
            <w:r>
              <w:rPr>
                <w:rFonts w:eastAsiaTheme="minorEastAsia" w:hint="eastAsia"/>
                <w:bCs/>
                <w:color w:val="000000"/>
                <w:sz w:val="24"/>
                <w:szCs w:val="24"/>
              </w:rPr>
              <w:t>°无死角保护产品的每一个角落。目前，这一突破性方案已在客户端的服务器电源以及服务器通讯柜散热风扇产品上实现量产。随着市场需求的不断增长，公司将不断优化镀膜技术和工艺，为客户提供更加优质的防护解决方案，以满足算力服务器在高性能、高可靠性、高能效等方面的强劲需求。</w:t>
            </w:r>
          </w:p>
          <w:p w14:paraId="0B72F4C5"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8.</w:t>
            </w:r>
            <w:r w:rsidRPr="004F18A4">
              <w:rPr>
                <w:rFonts w:eastAsiaTheme="minorEastAsia" w:hint="eastAsia"/>
                <w:b/>
                <w:color w:val="000000"/>
                <w:sz w:val="24"/>
                <w:szCs w:val="24"/>
              </w:rPr>
              <w:t>请介绍一下公司在机器人领域的应用拓展情况。</w:t>
            </w:r>
          </w:p>
          <w:p w14:paraId="5424EB21"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:2025</w:t>
            </w:r>
            <w:r>
              <w:rPr>
                <w:rFonts w:eastAsiaTheme="minorEastAsia" w:hint="eastAsia"/>
                <w:bCs/>
                <w:color w:val="000000"/>
                <w:sz w:val="24"/>
                <w:szCs w:val="24"/>
              </w:rPr>
              <w:t>年被认为是智能机器人产业的“量产元年”，随着人工智能技术的飞速发展，人形机器人、具身智能等概念逐渐从实验室走向商业化应用，推动了智能机器人产业的快速崛起。当处于户外作业、极端环境等应用场景，机器人产品的控制器、传感器等关键部件所面临的汗水腐蚀、雨水渗透、油污侵蚀等复合型环境挑战，已成为制约产品可靠性的核心痛点。公司创新性地将防护维度从宏观物理结构推进至微观分子层面，将纳米镀膜方案应用于相关领域的核心部件表面，精准构筑一层肉眼看不见却功能强大的疏水疏油膜层，可显著降低设备故障率。</w:t>
            </w:r>
          </w:p>
          <w:p w14:paraId="275D285B"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目前，公司的纳米防护技术已在外骨骼机器人、扫地机器人及工业机器人的控制板、驱动电机和动力电池包上成功应用，并开始商业化规模量产。除此以外，公司正和多家传感器、控制板、微电机等机器人重要部件的生产厂商积极接触和打样验证中。</w:t>
            </w:r>
          </w:p>
          <w:p w14:paraId="3BE1FCF5"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lastRenderedPageBreak/>
              <w:t xml:space="preserve">   </w:t>
            </w:r>
            <w:r w:rsidRPr="004F18A4">
              <w:rPr>
                <w:rFonts w:eastAsiaTheme="minorEastAsia" w:hint="eastAsia"/>
                <w:b/>
                <w:color w:val="000000"/>
                <w:sz w:val="24"/>
                <w:szCs w:val="24"/>
              </w:rPr>
              <w:t xml:space="preserve"> 9.</w:t>
            </w:r>
            <w:r w:rsidRPr="004F18A4">
              <w:rPr>
                <w:rFonts w:eastAsiaTheme="minorEastAsia" w:hint="eastAsia"/>
                <w:b/>
                <w:color w:val="000000"/>
                <w:sz w:val="24"/>
                <w:szCs w:val="24"/>
              </w:rPr>
              <w:t>公司研发方向有什么新的进展吗？</w:t>
            </w:r>
          </w:p>
          <w:p w14:paraId="67B20AEF"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公司始终聚焦技术创新和产品创新，持续加大产品研发投入和技术创新力度，坚持紧贴市场需求和技术发展趋势进行前瞻式研发。</w:t>
            </w:r>
            <w:r>
              <w:rPr>
                <w:rFonts w:eastAsiaTheme="minorEastAsia" w:hint="eastAsia"/>
                <w:bCs/>
                <w:color w:val="000000"/>
                <w:sz w:val="24"/>
                <w:szCs w:val="24"/>
              </w:rPr>
              <w:t>2025</w:t>
            </w:r>
            <w:r>
              <w:rPr>
                <w:rFonts w:eastAsiaTheme="minorEastAsia" w:hint="eastAsia"/>
                <w:bCs/>
                <w:color w:val="000000"/>
                <w:sz w:val="24"/>
                <w:szCs w:val="24"/>
              </w:rPr>
              <w:t>年上半年，公司研发投入</w:t>
            </w:r>
            <w:r>
              <w:rPr>
                <w:rFonts w:eastAsiaTheme="minorEastAsia" w:hint="eastAsia"/>
                <w:bCs/>
                <w:color w:val="000000"/>
                <w:sz w:val="24"/>
                <w:szCs w:val="24"/>
              </w:rPr>
              <w:t>4,491.30</w:t>
            </w:r>
            <w:r>
              <w:rPr>
                <w:rFonts w:eastAsiaTheme="minorEastAsia" w:hint="eastAsia"/>
                <w:bCs/>
                <w:color w:val="000000"/>
                <w:sz w:val="24"/>
                <w:szCs w:val="24"/>
              </w:rPr>
              <w:t>万元，同比增长</w:t>
            </w:r>
            <w:r>
              <w:rPr>
                <w:rFonts w:eastAsiaTheme="minorEastAsia" w:hint="eastAsia"/>
                <w:bCs/>
                <w:color w:val="000000"/>
                <w:sz w:val="24"/>
                <w:szCs w:val="24"/>
              </w:rPr>
              <w:t>9.82%</w:t>
            </w:r>
            <w:r>
              <w:rPr>
                <w:rFonts w:eastAsiaTheme="minorEastAsia" w:hint="eastAsia"/>
                <w:bCs/>
                <w:color w:val="000000"/>
                <w:sz w:val="24"/>
                <w:szCs w:val="24"/>
              </w:rPr>
              <w:t>，占营业收入比重为</w:t>
            </w:r>
            <w:r>
              <w:rPr>
                <w:rFonts w:eastAsiaTheme="minorEastAsia" w:hint="eastAsia"/>
                <w:bCs/>
                <w:color w:val="000000"/>
                <w:sz w:val="24"/>
                <w:szCs w:val="24"/>
              </w:rPr>
              <w:t>19.63%</w:t>
            </w:r>
            <w:r>
              <w:rPr>
                <w:rFonts w:eastAsiaTheme="minorEastAsia" w:hint="eastAsia"/>
                <w:bCs/>
                <w:color w:val="000000"/>
                <w:sz w:val="24"/>
                <w:szCs w:val="24"/>
              </w:rPr>
              <w:t>。</w:t>
            </w:r>
          </w:p>
          <w:p w14:paraId="345A5B0D"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膜层产品方面，公司凭借深厚的前沿技术储备，在原有防护类薄膜之外不断拓展纳米改性薄膜和纳米增性薄膜的更大市场。其中，透明增硬薄膜产品拥有高表面硬度、良好的膜基结合力以及致密的表面结构，并且与公司其他膜系有着匹配的组合性，可赋予薄膜工艺功能多样性。该类薄膜适用于高分子材料及金属表面的耐腐蚀耐划伤，例如镜头镜片、</w:t>
            </w:r>
            <w:r>
              <w:rPr>
                <w:rFonts w:eastAsiaTheme="minorEastAsia" w:hint="eastAsia"/>
                <w:bCs/>
                <w:color w:val="000000"/>
                <w:sz w:val="24"/>
                <w:szCs w:val="24"/>
              </w:rPr>
              <w:t>AR/VR</w:t>
            </w:r>
            <w:r>
              <w:rPr>
                <w:rFonts w:eastAsiaTheme="minorEastAsia" w:hint="eastAsia"/>
                <w:bCs/>
                <w:color w:val="000000"/>
                <w:sz w:val="24"/>
                <w:szCs w:val="24"/>
              </w:rPr>
              <w:t>眼镜、智能手表、手机、汽车内外饰件等；</w:t>
            </w:r>
            <w:r>
              <w:rPr>
                <w:rFonts w:eastAsiaTheme="minorEastAsia" w:hint="eastAsia"/>
                <w:bCs/>
                <w:color w:val="000000"/>
                <w:sz w:val="24"/>
                <w:szCs w:val="24"/>
              </w:rPr>
              <w:t>DLC</w:t>
            </w:r>
            <w:r>
              <w:rPr>
                <w:rFonts w:eastAsiaTheme="minorEastAsia" w:hint="eastAsia"/>
                <w:bCs/>
                <w:color w:val="000000"/>
                <w:sz w:val="24"/>
                <w:szCs w:val="24"/>
              </w:rPr>
              <w:t>耐磨薄膜可优化基材表面性能、增强耐腐蚀性、降低基材表面粗糙度从而提升密封性能。该产品的成功研发将促使汽车、航空航天、能源、化工等产业的泵类、液压传动等系统性能升级，提升终端产品质量与竞争力，带动上下游产业链向高端化迈进，如为汽车发动机燃油喷射系统提供更精准耐用的柱塞，助力汽车节能减排、动力提升。</w:t>
            </w:r>
          </w:p>
          <w:p w14:paraId="0963CE9A"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10.</w:t>
            </w:r>
            <w:r w:rsidRPr="004F18A4">
              <w:rPr>
                <w:rFonts w:eastAsiaTheme="minorEastAsia" w:hint="eastAsia"/>
                <w:b/>
                <w:color w:val="000000"/>
                <w:sz w:val="24"/>
                <w:szCs w:val="24"/>
              </w:rPr>
              <w:t>公司现在会招聘哪方面的人才？</w:t>
            </w:r>
          </w:p>
          <w:p w14:paraId="54F9AB5B"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公司将持续从研发、销售、管理各个领域引进高层次人才，打造掌握行业核心技术、高端技能和经营管理能力的复合型团队。</w:t>
            </w:r>
          </w:p>
          <w:p w14:paraId="092FB1DB" w14:textId="77777777" w:rsidR="00FB4C1B" w:rsidRPr="004F18A4" w:rsidRDefault="00000000">
            <w:pPr>
              <w:spacing w:line="360" w:lineRule="auto"/>
              <w:rPr>
                <w:rFonts w:eastAsiaTheme="minorEastAsia"/>
                <w:b/>
                <w:color w:val="000000"/>
                <w:sz w:val="24"/>
                <w:szCs w:val="24"/>
              </w:rPr>
            </w:pPr>
            <w:r>
              <w:rPr>
                <w:rFonts w:eastAsiaTheme="minorEastAsia" w:hint="eastAsia"/>
                <w:bCs/>
                <w:color w:val="000000"/>
                <w:sz w:val="24"/>
                <w:szCs w:val="24"/>
              </w:rPr>
              <w:t xml:space="preserve">   </w:t>
            </w:r>
            <w:r w:rsidRPr="004F18A4">
              <w:rPr>
                <w:rFonts w:eastAsiaTheme="minorEastAsia" w:hint="eastAsia"/>
                <w:b/>
                <w:color w:val="000000"/>
                <w:sz w:val="24"/>
                <w:szCs w:val="24"/>
              </w:rPr>
              <w:t xml:space="preserve"> 11.</w:t>
            </w:r>
            <w:r w:rsidRPr="004F18A4">
              <w:rPr>
                <w:rFonts w:eastAsiaTheme="minorEastAsia" w:hint="eastAsia"/>
                <w:b/>
                <w:color w:val="000000"/>
                <w:sz w:val="24"/>
                <w:szCs w:val="24"/>
              </w:rPr>
              <w:t>公司在汽车行业的应用拓展情况如何？</w:t>
            </w:r>
          </w:p>
          <w:p w14:paraId="05C6D257" w14:textId="77777777" w:rsidR="00FB4C1B" w:rsidRDefault="00000000">
            <w:pPr>
              <w:spacing w:line="360" w:lineRule="auto"/>
              <w:rPr>
                <w:rFonts w:eastAsiaTheme="minorEastAsia"/>
                <w:bCs/>
                <w:color w:val="000000"/>
                <w:sz w:val="24"/>
                <w:szCs w:val="24"/>
              </w:rPr>
            </w:pPr>
            <w:r>
              <w:rPr>
                <w:rFonts w:eastAsiaTheme="minorEastAsia" w:hint="eastAsia"/>
                <w:bCs/>
                <w:color w:val="000000"/>
                <w:sz w:val="24"/>
                <w:szCs w:val="24"/>
              </w:rPr>
              <w:t xml:space="preserve">    </w:t>
            </w:r>
            <w:r>
              <w:rPr>
                <w:rFonts w:eastAsiaTheme="minorEastAsia" w:hint="eastAsia"/>
                <w:bCs/>
                <w:color w:val="000000"/>
                <w:sz w:val="24"/>
                <w:szCs w:val="24"/>
              </w:rPr>
              <w:t>答</w:t>
            </w:r>
            <w:r>
              <w:rPr>
                <w:rFonts w:eastAsiaTheme="minorEastAsia" w:hint="eastAsia"/>
                <w:bCs/>
                <w:color w:val="000000"/>
                <w:sz w:val="24"/>
                <w:szCs w:val="24"/>
              </w:rPr>
              <w:t>:</w:t>
            </w:r>
            <w:r>
              <w:rPr>
                <w:rFonts w:eastAsiaTheme="minorEastAsia" w:hint="eastAsia"/>
                <w:bCs/>
                <w:color w:val="000000"/>
                <w:sz w:val="24"/>
                <w:szCs w:val="24"/>
              </w:rPr>
              <w:t>公司目前在多家</w:t>
            </w:r>
            <w:r>
              <w:rPr>
                <w:rFonts w:eastAsiaTheme="minorEastAsia" w:hint="eastAsia"/>
                <w:bCs/>
                <w:color w:val="000000"/>
                <w:sz w:val="24"/>
                <w:szCs w:val="24"/>
              </w:rPr>
              <w:t>Tier1</w:t>
            </w:r>
            <w:r>
              <w:rPr>
                <w:rFonts w:eastAsiaTheme="minorEastAsia" w:hint="eastAsia"/>
                <w:bCs/>
                <w:color w:val="000000"/>
                <w:sz w:val="24"/>
                <w:szCs w:val="24"/>
              </w:rPr>
              <w:t>龙头汽车零部件厂商和整车厂中已有多个定点项目和量产项目。除了激光雷达、压力传感器、汽车中控板、控制板、氛围灯</w:t>
            </w:r>
            <w:r>
              <w:rPr>
                <w:rFonts w:eastAsiaTheme="minorEastAsia" w:hint="eastAsia"/>
                <w:bCs/>
                <w:color w:val="000000"/>
                <w:sz w:val="24"/>
                <w:szCs w:val="24"/>
              </w:rPr>
              <w:t>PCBA</w:t>
            </w:r>
            <w:r>
              <w:rPr>
                <w:rFonts w:eastAsiaTheme="minorEastAsia" w:hint="eastAsia"/>
                <w:bCs/>
                <w:color w:val="000000"/>
                <w:sz w:val="24"/>
                <w:szCs w:val="24"/>
              </w:rPr>
              <w:t>等应用之外，公司成功与汽车行业的</w:t>
            </w:r>
            <w:r>
              <w:rPr>
                <w:rFonts w:eastAsiaTheme="minorEastAsia" w:hint="eastAsia"/>
                <w:bCs/>
                <w:color w:val="000000"/>
                <w:sz w:val="24"/>
                <w:szCs w:val="24"/>
              </w:rPr>
              <w:t>Tier1</w:t>
            </w:r>
            <w:r>
              <w:rPr>
                <w:rFonts w:eastAsiaTheme="minorEastAsia" w:hint="eastAsia"/>
                <w:bCs/>
                <w:color w:val="000000"/>
                <w:sz w:val="24"/>
                <w:szCs w:val="24"/>
              </w:rPr>
              <w:t>龙头合作，为其变速箱油泵进行镀膜服务。原先其变速箱采用干湿分离、防油密封的方式，导致成本较高。通过公司技术对变速箱子部件进行镀膜防护后，可以直接泡在高温油里实现长期稳定工作，简化了设计结构、降低成本，也解决了散热难点。</w:t>
            </w:r>
          </w:p>
        </w:tc>
      </w:tr>
      <w:tr w:rsidR="00FB4C1B" w14:paraId="0E4AC486" w14:textId="77777777">
        <w:trPr>
          <w:trHeight w:val="2538"/>
        </w:trPr>
        <w:tc>
          <w:tcPr>
            <w:tcW w:w="1773" w:type="dxa"/>
            <w:vAlign w:val="center"/>
          </w:tcPr>
          <w:p w14:paraId="42D0C281" w14:textId="77777777" w:rsidR="00FB4C1B" w:rsidRDefault="00000000">
            <w:pPr>
              <w:rPr>
                <w:color w:val="000000"/>
                <w:sz w:val="24"/>
                <w:szCs w:val="24"/>
              </w:rPr>
            </w:pPr>
            <w:r>
              <w:rPr>
                <w:color w:val="000000"/>
                <w:sz w:val="24"/>
                <w:szCs w:val="24"/>
              </w:rPr>
              <w:lastRenderedPageBreak/>
              <w:t>附件清单（如有）</w:t>
            </w:r>
          </w:p>
        </w:tc>
        <w:tc>
          <w:tcPr>
            <w:tcW w:w="8909" w:type="dxa"/>
            <w:vAlign w:val="center"/>
          </w:tcPr>
          <w:p w14:paraId="5DC29E96" w14:textId="77777777" w:rsidR="00FB4C1B" w:rsidRDefault="00000000">
            <w:pPr>
              <w:spacing w:line="480" w:lineRule="atLeast"/>
              <w:rPr>
                <w:rFonts w:eastAsiaTheme="minorEastAsia"/>
                <w:color w:val="000000"/>
                <w:sz w:val="24"/>
                <w:szCs w:val="24"/>
              </w:rPr>
            </w:pPr>
            <w:r>
              <w:rPr>
                <w:rFonts w:eastAsiaTheme="minorEastAsia"/>
                <w:color w:val="000000"/>
                <w:sz w:val="24"/>
                <w:szCs w:val="24"/>
              </w:rPr>
              <w:t>无</w:t>
            </w:r>
          </w:p>
        </w:tc>
      </w:tr>
      <w:tr w:rsidR="00FB4C1B" w14:paraId="4FCEE2D6" w14:textId="77777777">
        <w:trPr>
          <w:trHeight w:val="706"/>
        </w:trPr>
        <w:tc>
          <w:tcPr>
            <w:tcW w:w="1773" w:type="dxa"/>
            <w:vAlign w:val="center"/>
          </w:tcPr>
          <w:p w14:paraId="65620EF6" w14:textId="77777777" w:rsidR="00FB4C1B" w:rsidRDefault="00000000">
            <w:pPr>
              <w:spacing w:line="480" w:lineRule="atLeast"/>
              <w:rPr>
                <w:color w:val="000000"/>
                <w:sz w:val="24"/>
                <w:szCs w:val="24"/>
              </w:rPr>
            </w:pPr>
            <w:r>
              <w:rPr>
                <w:color w:val="000000"/>
                <w:sz w:val="24"/>
                <w:szCs w:val="24"/>
              </w:rPr>
              <w:t>日期</w:t>
            </w:r>
          </w:p>
        </w:tc>
        <w:tc>
          <w:tcPr>
            <w:tcW w:w="8909" w:type="dxa"/>
          </w:tcPr>
          <w:p w14:paraId="7DE4DBBD" w14:textId="77777777" w:rsidR="00FB4C1B" w:rsidRDefault="00000000">
            <w:pPr>
              <w:spacing w:line="480" w:lineRule="atLeast"/>
              <w:rPr>
                <w:rFonts w:eastAsiaTheme="minorEastAsia"/>
                <w:color w:val="000000"/>
                <w:sz w:val="24"/>
                <w:szCs w:val="24"/>
              </w:rPr>
            </w:pP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0</w:t>
            </w:r>
            <w:r>
              <w:rPr>
                <w:rFonts w:eastAsiaTheme="minorEastAsia" w:hint="eastAsia"/>
                <w:color w:val="000000"/>
                <w:sz w:val="24"/>
                <w:szCs w:val="24"/>
              </w:rPr>
              <w:t>9</w:t>
            </w:r>
            <w:r>
              <w:rPr>
                <w:rFonts w:eastAsiaTheme="minorEastAsia"/>
                <w:color w:val="000000"/>
                <w:sz w:val="24"/>
                <w:szCs w:val="24"/>
              </w:rPr>
              <w:t>月</w:t>
            </w:r>
            <w:r>
              <w:rPr>
                <w:rFonts w:eastAsiaTheme="minorEastAsia" w:hint="eastAsia"/>
                <w:color w:val="000000"/>
                <w:sz w:val="24"/>
                <w:szCs w:val="24"/>
              </w:rPr>
              <w:t>29</w:t>
            </w:r>
            <w:r>
              <w:rPr>
                <w:rFonts w:eastAsiaTheme="minorEastAsia"/>
                <w:color w:val="000000"/>
                <w:sz w:val="24"/>
                <w:szCs w:val="24"/>
              </w:rPr>
              <w:t>日</w:t>
            </w:r>
          </w:p>
        </w:tc>
      </w:tr>
    </w:tbl>
    <w:p w14:paraId="4EE10B46" w14:textId="77777777" w:rsidR="00FB4C1B" w:rsidRDefault="00FB4C1B"/>
    <w:sectPr w:rsidR="00FB4C1B">
      <w:headerReference w:type="default" r:id="rId6"/>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2479" w14:textId="77777777" w:rsidR="00CF6C21" w:rsidRDefault="00CF6C21">
      <w:r>
        <w:separator/>
      </w:r>
    </w:p>
  </w:endnote>
  <w:endnote w:type="continuationSeparator" w:id="0">
    <w:p w14:paraId="4C31C735" w14:textId="77777777" w:rsidR="00CF6C21" w:rsidRDefault="00CF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0029" w14:textId="77777777" w:rsidR="00CF6C21" w:rsidRDefault="00CF6C21">
      <w:r>
        <w:separator/>
      </w:r>
    </w:p>
  </w:footnote>
  <w:footnote w:type="continuationSeparator" w:id="0">
    <w:p w14:paraId="32092C40" w14:textId="77777777" w:rsidR="00CF6C21" w:rsidRDefault="00CF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1F27" w14:textId="77777777" w:rsidR="00FB4C1B"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35ADC3B4" wp14:editId="66399F9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doNotHyphenateCaps/>
  <w:drawingGridHorizontalSpacing w:val="105"/>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66648"/>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83AEC"/>
    <w:rsid w:val="0019095D"/>
    <w:rsid w:val="00191DE2"/>
    <w:rsid w:val="0019797D"/>
    <w:rsid w:val="001A38A7"/>
    <w:rsid w:val="001A44FB"/>
    <w:rsid w:val="001A6186"/>
    <w:rsid w:val="001B05A1"/>
    <w:rsid w:val="001B7D23"/>
    <w:rsid w:val="001C5BE3"/>
    <w:rsid w:val="001D11E4"/>
    <w:rsid w:val="001E1F7E"/>
    <w:rsid w:val="001F5C5B"/>
    <w:rsid w:val="001F7989"/>
    <w:rsid w:val="00200B3F"/>
    <w:rsid w:val="0020107E"/>
    <w:rsid w:val="002038A0"/>
    <w:rsid w:val="00207409"/>
    <w:rsid w:val="002103C5"/>
    <w:rsid w:val="00211B9E"/>
    <w:rsid w:val="00212EE5"/>
    <w:rsid w:val="00216821"/>
    <w:rsid w:val="00222A09"/>
    <w:rsid w:val="002278B6"/>
    <w:rsid w:val="002347AE"/>
    <w:rsid w:val="00244A4B"/>
    <w:rsid w:val="00244D03"/>
    <w:rsid w:val="00265B4C"/>
    <w:rsid w:val="00270BE9"/>
    <w:rsid w:val="00270C74"/>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47D2"/>
    <w:rsid w:val="003A7CA5"/>
    <w:rsid w:val="003B05B6"/>
    <w:rsid w:val="003B7F59"/>
    <w:rsid w:val="003C5EBF"/>
    <w:rsid w:val="003D2463"/>
    <w:rsid w:val="003D37D8"/>
    <w:rsid w:val="003D69BF"/>
    <w:rsid w:val="003E4931"/>
    <w:rsid w:val="003E5B49"/>
    <w:rsid w:val="003E6BD1"/>
    <w:rsid w:val="003F7BE3"/>
    <w:rsid w:val="003F7E60"/>
    <w:rsid w:val="00405A06"/>
    <w:rsid w:val="0042288D"/>
    <w:rsid w:val="004274B5"/>
    <w:rsid w:val="004358AB"/>
    <w:rsid w:val="00436C88"/>
    <w:rsid w:val="00463954"/>
    <w:rsid w:val="004657A9"/>
    <w:rsid w:val="00476A41"/>
    <w:rsid w:val="00477873"/>
    <w:rsid w:val="0048152C"/>
    <w:rsid w:val="0048685D"/>
    <w:rsid w:val="004A35AA"/>
    <w:rsid w:val="004A69D3"/>
    <w:rsid w:val="004B2332"/>
    <w:rsid w:val="004C5AA2"/>
    <w:rsid w:val="004D184E"/>
    <w:rsid w:val="004F18A4"/>
    <w:rsid w:val="004F1C47"/>
    <w:rsid w:val="004F28B1"/>
    <w:rsid w:val="005003D4"/>
    <w:rsid w:val="00515D1C"/>
    <w:rsid w:val="00524684"/>
    <w:rsid w:val="00530E7C"/>
    <w:rsid w:val="00540042"/>
    <w:rsid w:val="0054209B"/>
    <w:rsid w:val="005451E8"/>
    <w:rsid w:val="00550569"/>
    <w:rsid w:val="0055280A"/>
    <w:rsid w:val="00553441"/>
    <w:rsid w:val="005564C7"/>
    <w:rsid w:val="00561E59"/>
    <w:rsid w:val="005665E8"/>
    <w:rsid w:val="00580779"/>
    <w:rsid w:val="00591273"/>
    <w:rsid w:val="00593F36"/>
    <w:rsid w:val="005A09F6"/>
    <w:rsid w:val="005A5AA2"/>
    <w:rsid w:val="005B1584"/>
    <w:rsid w:val="005D2CE4"/>
    <w:rsid w:val="005D3210"/>
    <w:rsid w:val="005E4D70"/>
    <w:rsid w:val="005F000A"/>
    <w:rsid w:val="005F10D8"/>
    <w:rsid w:val="005F1A8E"/>
    <w:rsid w:val="005F59AB"/>
    <w:rsid w:val="00602002"/>
    <w:rsid w:val="00603A9F"/>
    <w:rsid w:val="006112DA"/>
    <w:rsid w:val="00615A9D"/>
    <w:rsid w:val="00622631"/>
    <w:rsid w:val="00630D2E"/>
    <w:rsid w:val="006320EA"/>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58F2"/>
    <w:rsid w:val="006D298B"/>
    <w:rsid w:val="006E0A68"/>
    <w:rsid w:val="006E2C08"/>
    <w:rsid w:val="006F5217"/>
    <w:rsid w:val="007009EF"/>
    <w:rsid w:val="007039E4"/>
    <w:rsid w:val="007072EB"/>
    <w:rsid w:val="00721190"/>
    <w:rsid w:val="00736D7C"/>
    <w:rsid w:val="00737251"/>
    <w:rsid w:val="00737D31"/>
    <w:rsid w:val="00740334"/>
    <w:rsid w:val="0074277F"/>
    <w:rsid w:val="00752E92"/>
    <w:rsid w:val="00755E2E"/>
    <w:rsid w:val="00767F29"/>
    <w:rsid w:val="00773CC2"/>
    <w:rsid w:val="00774B78"/>
    <w:rsid w:val="00774BB7"/>
    <w:rsid w:val="00790193"/>
    <w:rsid w:val="0079033B"/>
    <w:rsid w:val="00797A86"/>
    <w:rsid w:val="007A1790"/>
    <w:rsid w:val="007A223D"/>
    <w:rsid w:val="007A5B29"/>
    <w:rsid w:val="007A7CD8"/>
    <w:rsid w:val="007B6355"/>
    <w:rsid w:val="007B6483"/>
    <w:rsid w:val="007B7BCE"/>
    <w:rsid w:val="007C00F1"/>
    <w:rsid w:val="007C3408"/>
    <w:rsid w:val="007C5948"/>
    <w:rsid w:val="007D1BE1"/>
    <w:rsid w:val="007D1ECA"/>
    <w:rsid w:val="007D39F2"/>
    <w:rsid w:val="008078BF"/>
    <w:rsid w:val="00811DF1"/>
    <w:rsid w:val="00812B0D"/>
    <w:rsid w:val="00820985"/>
    <w:rsid w:val="00820BF7"/>
    <w:rsid w:val="00841FDD"/>
    <w:rsid w:val="00844333"/>
    <w:rsid w:val="008538C3"/>
    <w:rsid w:val="00854434"/>
    <w:rsid w:val="0085731C"/>
    <w:rsid w:val="0086313F"/>
    <w:rsid w:val="008631CB"/>
    <w:rsid w:val="0088222E"/>
    <w:rsid w:val="00884876"/>
    <w:rsid w:val="00890B58"/>
    <w:rsid w:val="0089190B"/>
    <w:rsid w:val="00892234"/>
    <w:rsid w:val="0089339F"/>
    <w:rsid w:val="00896BBF"/>
    <w:rsid w:val="00896FF2"/>
    <w:rsid w:val="008A1DD5"/>
    <w:rsid w:val="008B7726"/>
    <w:rsid w:val="008D190C"/>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35E6"/>
    <w:rsid w:val="009B5DC6"/>
    <w:rsid w:val="009B6B2E"/>
    <w:rsid w:val="009C2851"/>
    <w:rsid w:val="009C3894"/>
    <w:rsid w:val="009C496D"/>
    <w:rsid w:val="009D10E6"/>
    <w:rsid w:val="009D16B8"/>
    <w:rsid w:val="009D6589"/>
    <w:rsid w:val="009E3AEC"/>
    <w:rsid w:val="009F4687"/>
    <w:rsid w:val="00A00077"/>
    <w:rsid w:val="00A00B80"/>
    <w:rsid w:val="00A13ED2"/>
    <w:rsid w:val="00A31764"/>
    <w:rsid w:val="00A320E0"/>
    <w:rsid w:val="00A33DA6"/>
    <w:rsid w:val="00A46BD9"/>
    <w:rsid w:val="00A46DD2"/>
    <w:rsid w:val="00A476A8"/>
    <w:rsid w:val="00A5187C"/>
    <w:rsid w:val="00A809D4"/>
    <w:rsid w:val="00A82F01"/>
    <w:rsid w:val="00A84691"/>
    <w:rsid w:val="00A8610C"/>
    <w:rsid w:val="00A90FEE"/>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226A"/>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84E8D"/>
    <w:rsid w:val="00CB5B74"/>
    <w:rsid w:val="00CB68A7"/>
    <w:rsid w:val="00CB790A"/>
    <w:rsid w:val="00CD764F"/>
    <w:rsid w:val="00CF088D"/>
    <w:rsid w:val="00CF0918"/>
    <w:rsid w:val="00CF1C41"/>
    <w:rsid w:val="00CF6C21"/>
    <w:rsid w:val="00D06D17"/>
    <w:rsid w:val="00D07CD3"/>
    <w:rsid w:val="00D15EBC"/>
    <w:rsid w:val="00D16B36"/>
    <w:rsid w:val="00D178E5"/>
    <w:rsid w:val="00D219E4"/>
    <w:rsid w:val="00D23D46"/>
    <w:rsid w:val="00D318C6"/>
    <w:rsid w:val="00D31C54"/>
    <w:rsid w:val="00D36ABC"/>
    <w:rsid w:val="00D37349"/>
    <w:rsid w:val="00D415F0"/>
    <w:rsid w:val="00D42CDB"/>
    <w:rsid w:val="00D431D5"/>
    <w:rsid w:val="00D47966"/>
    <w:rsid w:val="00D60334"/>
    <w:rsid w:val="00D7003A"/>
    <w:rsid w:val="00D72342"/>
    <w:rsid w:val="00D7586E"/>
    <w:rsid w:val="00D806A8"/>
    <w:rsid w:val="00D8550C"/>
    <w:rsid w:val="00D91046"/>
    <w:rsid w:val="00D95DBD"/>
    <w:rsid w:val="00DA15A3"/>
    <w:rsid w:val="00DA3FF1"/>
    <w:rsid w:val="00DA4F18"/>
    <w:rsid w:val="00DA7D6A"/>
    <w:rsid w:val="00DB7469"/>
    <w:rsid w:val="00DB798B"/>
    <w:rsid w:val="00DC1A9A"/>
    <w:rsid w:val="00DC4110"/>
    <w:rsid w:val="00DC620D"/>
    <w:rsid w:val="00DC7F32"/>
    <w:rsid w:val="00DD7918"/>
    <w:rsid w:val="00DE2639"/>
    <w:rsid w:val="00DF507D"/>
    <w:rsid w:val="00E02B55"/>
    <w:rsid w:val="00E170CE"/>
    <w:rsid w:val="00E25090"/>
    <w:rsid w:val="00E33DB4"/>
    <w:rsid w:val="00E41AEE"/>
    <w:rsid w:val="00E43366"/>
    <w:rsid w:val="00E4594D"/>
    <w:rsid w:val="00E51AF9"/>
    <w:rsid w:val="00E560BC"/>
    <w:rsid w:val="00E61AF0"/>
    <w:rsid w:val="00E65D5E"/>
    <w:rsid w:val="00E70FA9"/>
    <w:rsid w:val="00E71136"/>
    <w:rsid w:val="00E762CA"/>
    <w:rsid w:val="00E93A62"/>
    <w:rsid w:val="00E94060"/>
    <w:rsid w:val="00EA2A72"/>
    <w:rsid w:val="00EA7201"/>
    <w:rsid w:val="00EB34DD"/>
    <w:rsid w:val="00EB695A"/>
    <w:rsid w:val="00EB7E2B"/>
    <w:rsid w:val="00EC068B"/>
    <w:rsid w:val="00ED521F"/>
    <w:rsid w:val="00ED7898"/>
    <w:rsid w:val="00EE1554"/>
    <w:rsid w:val="00EE62B6"/>
    <w:rsid w:val="00EF2A8B"/>
    <w:rsid w:val="00EF367E"/>
    <w:rsid w:val="00F04262"/>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A43D3"/>
    <w:rsid w:val="00FA770B"/>
    <w:rsid w:val="00FB4C1B"/>
    <w:rsid w:val="00FC22D9"/>
    <w:rsid w:val="00FC405D"/>
    <w:rsid w:val="00FC6529"/>
    <w:rsid w:val="00FD2314"/>
    <w:rsid w:val="00FD48A8"/>
    <w:rsid w:val="00FD4D40"/>
    <w:rsid w:val="00FD6686"/>
    <w:rsid w:val="00FD768A"/>
    <w:rsid w:val="00FE31DB"/>
    <w:rsid w:val="00FE3FFB"/>
    <w:rsid w:val="00FE5E9E"/>
    <w:rsid w:val="00FE7720"/>
    <w:rsid w:val="2BA81C41"/>
    <w:rsid w:val="38990140"/>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F07BA"/>
  <w15:docId w15:val="{B11FAD4A-660B-45D3-B562-EEDF0C9C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qFormat/>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customStyle="1" w:styleId="5">
    <w:name w:val="修订5"/>
    <w:hidden/>
    <w:uiPriority w:val="99"/>
    <w:unhideWhenUsed/>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FWT</cp:lastModifiedBy>
  <cp:revision>33</cp:revision>
  <cp:lastPrinted>2025-06-03T08:20:00Z</cp:lastPrinted>
  <dcterms:created xsi:type="dcterms:W3CDTF">2023-05-30T08:00:00Z</dcterms:created>
  <dcterms:modified xsi:type="dcterms:W3CDTF">2025-09-29T07:28:00Z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0791AF2330C245FCAAD2E83E020DBD84_13</vt:lpwstr>
  </property>
  <property fmtid="{D5CDD505-2E9C-101B-9397-08002B2CF9AE}" pid="4" name="KSOTemplateDocerSaveRecord">
    <vt:lpwstr>eyJoZGlkIjoiZjFmZWIzNDg2MmIzZjExOTIzMmViNTBmYTMwYTk0ZWYiLCJ1c2VySWQiOiI0NjEzNzA5NTEifQ==</vt:lpwstr>
  </property>
</Properties>
</file>