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4A5AB" w14:textId="3B23ABBE" w:rsidR="004A6D42" w:rsidRDefault="004A6D42" w:rsidP="004A6D42">
      <w:pPr>
        <w:pStyle w:val="1"/>
        <w:spacing w:line="360" w:lineRule="auto"/>
        <w:rPr>
          <w:rFonts w:ascii="宋体" w:eastAsia="宋体" w:hAnsi="宋体" w:cs="宋体"/>
          <w:sz w:val="20"/>
          <w:szCs w:val="20"/>
          <w:lang w:val="en-US"/>
        </w:rPr>
      </w:pPr>
      <w:r>
        <w:rPr>
          <w:rFonts w:ascii="宋体" w:eastAsia="宋体" w:hAnsi="宋体" w:cs="宋体" w:hint="eastAsia"/>
          <w:sz w:val="20"/>
          <w:szCs w:val="20"/>
          <w:lang w:val="en-US"/>
        </w:rPr>
        <w:t xml:space="preserve">证券代码：688103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证券简称：国力电子</w:t>
      </w:r>
    </w:p>
    <w:p w14:paraId="5674894E" w14:textId="77777777" w:rsidR="004A6D42" w:rsidRDefault="004A6D42" w:rsidP="004A6D42">
      <w:pPr>
        <w:spacing w:line="360" w:lineRule="auto"/>
        <w:rPr>
          <w:rFonts w:ascii="宋体" w:eastAsia="宋体" w:hAnsi="宋体" w:cs="宋体"/>
          <w:sz w:val="20"/>
          <w:szCs w:val="20"/>
          <w:lang w:val="en-US"/>
        </w:rPr>
      </w:pPr>
      <w:r w:rsidRPr="008D5824">
        <w:rPr>
          <w:rFonts w:ascii="宋体" w:eastAsia="宋体" w:hAnsi="宋体" w:cs="宋体" w:hint="eastAsia"/>
          <w:sz w:val="20"/>
          <w:szCs w:val="20"/>
          <w:lang w:val="en-US"/>
        </w:rPr>
        <w:t>转债代码：</w:t>
      </w:r>
      <w:r w:rsidRPr="008D5824">
        <w:rPr>
          <w:rFonts w:ascii="宋体" w:eastAsia="宋体" w:hAnsi="宋体" w:cs="宋体"/>
          <w:sz w:val="20"/>
          <w:szCs w:val="20"/>
          <w:lang w:val="en-US"/>
        </w:rPr>
        <w:t xml:space="preserve">118035                </w:t>
      </w:r>
      <w:r>
        <w:rPr>
          <w:rFonts w:ascii="宋体" w:eastAsia="宋体" w:hAnsi="宋体" w:cs="宋体"/>
          <w:sz w:val="20"/>
          <w:szCs w:val="20"/>
          <w:lang w:val="en-US"/>
        </w:rPr>
        <w:t xml:space="preserve">                           </w:t>
      </w:r>
      <w:r w:rsidRPr="008D5824">
        <w:rPr>
          <w:rFonts w:ascii="宋体" w:eastAsia="宋体" w:hAnsi="宋体" w:cs="宋体"/>
          <w:sz w:val="20"/>
          <w:szCs w:val="20"/>
          <w:lang w:val="en-US"/>
        </w:rPr>
        <w:t>转债简称：国力转债</w:t>
      </w:r>
    </w:p>
    <w:p w14:paraId="0413228D" w14:textId="77777777" w:rsidR="00841ECA" w:rsidRPr="00DF0C66" w:rsidRDefault="00841ECA" w:rsidP="00DF0C66">
      <w:pPr>
        <w:spacing w:line="360" w:lineRule="auto"/>
        <w:rPr>
          <w:rFonts w:ascii="宋体" w:eastAsia="宋体" w:hAnsi="宋体" w:cs="宋体" w:hint="eastAsia"/>
          <w:b/>
          <w:bCs/>
          <w:sz w:val="44"/>
          <w:szCs w:val="44"/>
          <w:lang w:val="en-US"/>
        </w:rPr>
      </w:pPr>
      <w:bookmarkStart w:id="0" w:name="_GoBack"/>
      <w:bookmarkEnd w:id="0"/>
    </w:p>
    <w:p w14:paraId="15239112" w14:textId="77777777" w:rsidR="00841ECA" w:rsidRDefault="00EF6E3D">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昆山国力电子科技股份有限公司</w:t>
      </w:r>
    </w:p>
    <w:p w14:paraId="3EFECE27" w14:textId="77777777" w:rsidR="00841ECA" w:rsidRDefault="00EF6E3D">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5705AD60" w14:textId="0B613094" w:rsidR="00841ECA" w:rsidRDefault="004A6D42" w:rsidP="004A6D42">
      <w:pPr>
        <w:spacing w:before="51" w:after="32"/>
        <w:ind w:right="19"/>
        <w:jc w:val="right"/>
        <w:rPr>
          <w:rFonts w:ascii="宋体" w:eastAsia="宋体" w:hAnsi="宋体" w:cs="宋体"/>
          <w:sz w:val="20"/>
          <w:szCs w:val="20"/>
        </w:rPr>
      </w:pPr>
      <w:r>
        <w:rPr>
          <w:rFonts w:ascii="宋体" w:eastAsia="宋体" w:hAnsi="宋体" w:cs="宋体" w:hint="eastAsia"/>
          <w:sz w:val="20"/>
          <w:szCs w:val="20"/>
        </w:rPr>
        <w:t xml:space="preserve"> </w:t>
      </w:r>
      <w:r w:rsidR="00EF6E3D">
        <w:rPr>
          <w:rFonts w:ascii="宋体" w:eastAsia="宋体" w:hAnsi="宋体" w:cs="宋体" w:hint="eastAsia"/>
          <w:sz w:val="20"/>
          <w:szCs w:val="20"/>
        </w:rPr>
        <w:t>编号：</w:t>
      </w:r>
      <w:r w:rsidR="00EF6E3D">
        <w:rPr>
          <w:rFonts w:ascii="宋体" w:eastAsia="宋体" w:hAnsi="宋体" w:cs="宋体" w:hint="eastAsia"/>
          <w:sz w:val="20"/>
          <w:szCs w:val="20"/>
          <w:lang w:val="en-US"/>
        </w:rPr>
        <w:t>2025</w:t>
      </w:r>
      <w:r w:rsidR="00EF6E3D">
        <w:rPr>
          <w:rFonts w:ascii="宋体" w:eastAsia="宋体" w:hAnsi="宋体" w:cs="宋体" w:hint="eastAsia"/>
          <w:sz w:val="20"/>
          <w:szCs w:val="20"/>
        </w:rPr>
        <w:t>-</w:t>
      </w:r>
      <w:r>
        <w:rPr>
          <w:rFonts w:ascii="宋体" w:eastAsia="宋体" w:hAnsi="宋体" w:cs="宋体"/>
          <w:sz w:val="20"/>
          <w:szCs w:val="20"/>
        </w:rPr>
        <w:t>006</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841ECA" w14:paraId="3CE141B1" w14:textId="77777777">
        <w:trPr>
          <w:trHeight w:val="2801"/>
          <w:jc w:val="center"/>
        </w:trPr>
        <w:tc>
          <w:tcPr>
            <w:tcW w:w="2580" w:type="dxa"/>
          </w:tcPr>
          <w:p w14:paraId="4A27E65E" w14:textId="77777777" w:rsidR="00841ECA" w:rsidRDefault="00841ECA">
            <w:pPr>
              <w:pStyle w:val="TableParagraph"/>
              <w:spacing w:before="7"/>
              <w:rPr>
                <w:rFonts w:ascii="宋体" w:eastAsia="宋体" w:hAnsi="宋体" w:cs="宋体"/>
                <w:b/>
                <w:bCs/>
                <w:sz w:val="20"/>
                <w:szCs w:val="20"/>
              </w:rPr>
            </w:pPr>
          </w:p>
          <w:p w14:paraId="1285486A" w14:textId="77777777" w:rsidR="00841ECA" w:rsidRDefault="00EF6E3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48C1475E" w14:textId="77777777" w:rsidR="00841ECA" w:rsidRDefault="00841ECA">
            <w:pPr>
              <w:pStyle w:val="TableParagraph"/>
              <w:spacing w:before="7"/>
              <w:rPr>
                <w:rFonts w:ascii="宋体" w:eastAsia="宋体" w:hAnsi="宋体" w:cs="宋体"/>
                <w:sz w:val="20"/>
                <w:szCs w:val="20"/>
              </w:rPr>
            </w:pPr>
          </w:p>
          <w:p w14:paraId="1A220B8F" w14:textId="77777777" w:rsidR="00841ECA" w:rsidRDefault="004A5AA7">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EF6E3D">
                  <w:rPr>
                    <w:rFonts w:ascii="MS Gothic" w:eastAsia="MS Gothic" w:hAnsi="MS Gothic" w:cs="宋体" w:hint="eastAsia"/>
                    <w:sz w:val="20"/>
                    <w:szCs w:val="20"/>
                  </w:rPr>
                  <w:t>☐</w:t>
                </w:r>
              </w:sdtContent>
            </w:sdt>
            <w:r w:rsidR="00EF6E3D">
              <w:rPr>
                <w:rFonts w:ascii="宋体" w:eastAsia="宋体" w:hAnsi="宋体" w:cs="宋体" w:hint="eastAsia"/>
                <w:sz w:val="20"/>
                <w:szCs w:val="20"/>
              </w:rPr>
              <w:t>特</w:t>
            </w:r>
            <w:r w:rsidR="00EF6E3D">
              <w:rPr>
                <w:rFonts w:ascii="宋体" w:eastAsia="宋体" w:hAnsi="宋体" w:cs="宋体" w:hint="eastAsia"/>
                <w:spacing w:val="-3"/>
                <w:sz w:val="20"/>
                <w:szCs w:val="20"/>
              </w:rPr>
              <w:t>定</w:t>
            </w:r>
            <w:r w:rsidR="00EF6E3D">
              <w:rPr>
                <w:rFonts w:ascii="宋体" w:eastAsia="宋体" w:hAnsi="宋体" w:cs="宋体" w:hint="eastAsia"/>
                <w:sz w:val="20"/>
                <w:szCs w:val="20"/>
              </w:rPr>
              <w:t>对</w:t>
            </w:r>
            <w:r w:rsidR="00EF6E3D">
              <w:rPr>
                <w:rFonts w:ascii="宋体" w:eastAsia="宋体" w:hAnsi="宋体" w:cs="宋体" w:hint="eastAsia"/>
                <w:spacing w:val="-3"/>
                <w:sz w:val="20"/>
                <w:szCs w:val="20"/>
              </w:rPr>
              <w:t>象</w:t>
            </w:r>
            <w:r w:rsidR="00EF6E3D">
              <w:rPr>
                <w:rFonts w:ascii="宋体" w:eastAsia="宋体" w:hAnsi="宋体" w:cs="宋体" w:hint="eastAsia"/>
                <w:sz w:val="20"/>
                <w:szCs w:val="20"/>
              </w:rPr>
              <w:t>调研</w:t>
            </w:r>
            <w:r w:rsidR="00EF6E3D">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EF6E3D">
                  <w:rPr>
                    <w:rFonts w:ascii="MS Gothic" w:eastAsia="MS Gothic" w:hAnsi="MS Gothic" w:cs="宋体" w:hint="eastAsia"/>
                    <w:sz w:val="20"/>
                    <w:szCs w:val="20"/>
                  </w:rPr>
                  <w:t>☐</w:t>
                </w:r>
              </w:sdtContent>
            </w:sdt>
            <w:r w:rsidR="00EF6E3D">
              <w:rPr>
                <w:rFonts w:ascii="宋体" w:eastAsia="宋体" w:hAnsi="宋体" w:cs="宋体" w:hint="eastAsia"/>
                <w:sz w:val="20"/>
                <w:szCs w:val="20"/>
              </w:rPr>
              <w:t>分</w:t>
            </w:r>
            <w:r w:rsidR="00EF6E3D">
              <w:rPr>
                <w:rFonts w:ascii="宋体" w:eastAsia="宋体" w:hAnsi="宋体" w:cs="宋体" w:hint="eastAsia"/>
                <w:spacing w:val="-3"/>
                <w:sz w:val="20"/>
                <w:szCs w:val="20"/>
              </w:rPr>
              <w:t>析</w:t>
            </w:r>
            <w:r w:rsidR="00EF6E3D">
              <w:rPr>
                <w:rFonts w:ascii="宋体" w:eastAsia="宋体" w:hAnsi="宋体" w:cs="宋体" w:hint="eastAsia"/>
                <w:sz w:val="20"/>
                <w:szCs w:val="20"/>
              </w:rPr>
              <w:t>师</w:t>
            </w:r>
            <w:r w:rsidR="00EF6E3D">
              <w:rPr>
                <w:rFonts w:ascii="宋体" w:eastAsia="宋体" w:hAnsi="宋体" w:cs="宋体" w:hint="eastAsia"/>
                <w:spacing w:val="-3"/>
                <w:sz w:val="20"/>
                <w:szCs w:val="20"/>
              </w:rPr>
              <w:t>会</w:t>
            </w:r>
            <w:r w:rsidR="00EF6E3D">
              <w:rPr>
                <w:rFonts w:ascii="宋体" w:eastAsia="宋体" w:hAnsi="宋体" w:cs="宋体" w:hint="eastAsia"/>
                <w:sz w:val="20"/>
                <w:szCs w:val="20"/>
              </w:rPr>
              <w:t>议</w:t>
            </w:r>
          </w:p>
          <w:p w14:paraId="6C6C0A14" w14:textId="77777777" w:rsidR="00841ECA" w:rsidRDefault="00841ECA">
            <w:pPr>
              <w:pStyle w:val="TableParagraph"/>
              <w:spacing w:before="11"/>
              <w:rPr>
                <w:rFonts w:ascii="宋体" w:eastAsia="宋体" w:hAnsi="宋体" w:cs="宋体"/>
                <w:sz w:val="20"/>
                <w:szCs w:val="20"/>
              </w:rPr>
            </w:pPr>
          </w:p>
          <w:p w14:paraId="620FDC71" w14:textId="77777777" w:rsidR="00841ECA" w:rsidRDefault="004A5AA7">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EF6E3D">
                  <w:rPr>
                    <w:rFonts w:ascii="MS Gothic" w:eastAsia="MS Gothic" w:hAnsi="MS Gothic" w:cs="宋体" w:hint="eastAsia"/>
                    <w:sz w:val="20"/>
                    <w:szCs w:val="20"/>
                  </w:rPr>
                  <w:t>☐</w:t>
                </w:r>
              </w:sdtContent>
            </w:sdt>
            <w:r w:rsidR="00EF6E3D">
              <w:rPr>
                <w:rFonts w:ascii="宋体" w:eastAsia="宋体" w:hAnsi="宋体" w:cs="宋体" w:hint="eastAsia"/>
                <w:sz w:val="20"/>
                <w:szCs w:val="20"/>
              </w:rPr>
              <w:t>媒</w:t>
            </w:r>
            <w:r w:rsidR="00EF6E3D">
              <w:rPr>
                <w:rFonts w:ascii="宋体" w:eastAsia="宋体" w:hAnsi="宋体" w:cs="宋体" w:hint="eastAsia"/>
                <w:spacing w:val="-3"/>
                <w:sz w:val="20"/>
                <w:szCs w:val="20"/>
              </w:rPr>
              <w:t>体</w:t>
            </w:r>
            <w:r w:rsidR="00EF6E3D">
              <w:rPr>
                <w:rFonts w:ascii="宋体" w:eastAsia="宋体" w:hAnsi="宋体" w:cs="宋体" w:hint="eastAsia"/>
                <w:sz w:val="20"/>
                <w:szCs w:val="20"/>
              </w:rPr>
              <w:t>采访</w:t>
            </w:r>
            <w:r w:rsidR="00EF6E3D">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EF6E3D">
                  <w:rPr>
                    <w:rFonts w:ascii="Wingdings 2" w:eastAsia="MS Gothic" w:hAnsi="Wingdings 2" w:cs="宋体"/>
                    <w:sz w:val="20"/>
                    <w:szCs w:val="20"/>
                  </w:rPr>
                  <w:t></w:t>
                </w:r>
              </w:sdtContent>
            </w:sdt>
            <w:r w:rsidR="00EF6E3D">
              <w:rPr>
                <w:rFonts w:ascii="宋体" w:eastAsia="宋体" w:hAnsi="宋体" w:cs="宋体" w:hint="eastAsia"/>
                <w:sz w:val="20"/>
                <w:szCs w:val="20"/>
              </w:rPr>
              <w:t>业</w:t>
            </w:r>
            <w:r w:rsidR="00EF6E3D">
              <w:rPr>
                <w:rFonts w:ascii="宋体" w:eastAsia="宋体" w:hAnsi="宋体" w:cs="宋体" w:hint="eastAsia"/>
                <w:spacing w:val="-3"/>
                <w:sz w:val="20"/>
                <w:szCs w:val="20"/>
              </w:rPr>
              <w:t>绩</w:t>
            </w:r>
            <w:r w:rsidR="00EF6E3D">
              <w:rPr>
                <w:rFonts w:ascii="宋体" w:eastAsia="宋体" w:hAnsi="宋体" w:cs="宋体" w:hint="eastAsia"/>
                <w:sz w:val="20"/>
                <w:szCs w:val="20"/>
              </w:rPr>
              <w:t>说</w:t>
            </w:r>
            <w:r w:rsidR="00EF6E3D">
              <w:rPr>
                <w:rFonts w:ascii="宋体" w:eastAsia="宋体" w:hAnsi="宋体" w:cs="宋体" w:hint="eastAsia"/>
                <w:spacing w:val="-3"/>
                <w:sz w:val="20"/>
                <w:szCs w:val="20"/>
              </w:rPr>
              <w:t>明</w:t>
            </w:r>
            <w:r w:rsidR="00EF6E3D">
              <w:rPr>
                <w:rFonts w:ascii="宋体" w:eastAsia="宋体" w:hAnsi="宋体" w:cs="宋体" w:hint="eastAsia"/>
                <w:sz w:val="20"/>
                <w:szCs w:val="20"/>
              </w:rPr>
              <w:t>会</w:t>
            </w:r>
          </w:p>
          <w:p w14:paraId="0F035E46" w14:textId="77777777" w:rsidR="00841ECA" w:rsidRDefault="00841ECA">
            <w:pPr>
              <w:pStyle w:val="TableParagraph"/>
              <w:spacing w:before="8"/>
              <w:rPr>
                <w:rFonts w:ascii="宋体" w:eastAsia="宋体" w:hAnsi="宋体" w:cs="宋体"/>
                <w:sz w:val="20"/>
                <w:szCs w:val="20"/>
              </w:rPr>
            </w:pPr>
          </w:p>
          <w:p w14:paraId="32A05852" w14:textId="77777777" w:rsidR="00841ECA" w:rsidRDefault="004A5AA7">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EF6E3D">
                  <w:rPr>
                    <w:rFonts w:ascii="MS Gothic" w:eastAsia="MS Gothic" w:hAnsi="MS Gothic" w:cs="宋体" w:hint="eastAsia"/>
                    <w:sz w:val="20"/>
                    <w:szCs w:val="20"/>
                  </w:rPr>
                  <w:t>☐</w:t>
                </w:r>
              </w:sdtContent>
            </w:sdt>
            <w:r w:rsidR="00EF6E3D">
              <w:rPr>
                <w:rFonts w:ascii="宋体" w:eastAsia="宋体" w:hAnsi="宋体" w:cs="宋体" w:hint="eastAsia"/>
                <w:sz w:val="20"/>
                <w:szCs w:val="20"/>
              </w:rPr>
              <w:t>新</w:t>
            </w:r>
            <w:r w:rsidR="00EF6E3D">
              <w:rPr>
                <w:rFonts w:ascii="宋体" w:eastAsia="宋体" w:hAnsi="宋体" w:cs="宋体" w:hint="eastAsia"/>
                <w:spacing w:val="-3"/>
                <w:sz w:val="20"/>
                <w:szCs w:val="20"/>
              </w:rPr>
              <w:t>闻</w:t>
            </w:r>
            <w:r w:rsidR="00EF6E3D">
              <w:rPr>
                <w:rFonts w:ascii="宋体" w:eastAsia="宋体" w:hAnsi="宋体" w:cs="宋体" w:hint="eastAsia"/>
                <w:sz w:val="20"/>
                <w:szCs w:val="20"/>
              </w:rPr>
              <w:t>发</w:t>
            </w:r>
            <w:r w:rsidR="00EF6E3D">
              <w:rPr>
                <w:rFonts w:ascii="宋体" w:eastAsia="宋体" w:hAnsi="宋体" w:cs="宋体" w:hint="eastAsia"/>
                <w:spacing w:val="-3"/>
                <w:sz w:val="20"/>
                <w:szCs w:val="20"/>
              </w:rPr>
              <w:t>布</w:t>
            </w:r>
            <w:r w:rsidR="00EF6E3D">
              <w:rPr>
                <w:rFonts w:ascii="宋体" w:eastAsia="宋体" w:hAnsi="宋体" w:cs="宋体" w:hint="eastAsia"/>
                <w:sz w:val="20"/>
                <w:szCs w:val="20"/>
              </w:rPr>
              <w:t>会</w:t>
            </w:r>
            <w:r w:rsidR="00EF6E3D">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EF6E3D">
                  <w:rPr>
                    <w:rFonts w:ascii="MS Gothic" w:eastAsia="MS Gothic" w:hAnsi="MS Gothic" w:cs="宋体" w:hint="eastAsia"/>
                    <w:sz w:val="20"/>
                    <w:szCs w:val="20"/>
                  </w:rPr>
                  <w:t>☐</w:t>
                </w:r>
              </w:sdtContent>
            </w:sdt>
            <w:r w:rsidR="00EF6E3D">
              <w:rPr>
                <w:rFonts w:ascii="宋体" w:eastAsia="宋体" w:hAnsi="宋体" w:cs="宋体" w:hint="eastAsia"/>
                <w:sz w:val="20"/>
                <w:szCs w:val="20"/>
              </w:rPr>
              <w:t>路</w:t>
            </w:r>
            <w:r w:rsidR="00EF6E3D">
              <w:rPr>
                <w:rFonts w:ascii="宋体" w:eastAsia="宋体" w:hAnsi="宋体" w:cs="宋体" w:hint="eastAsia"/>
                <w:spacing w:val="-3"/>
                <w:sz w:val="20"/>
                <w:szCs w:val="20"/>
              </w:rPr>
              <w:t>演</w:t>
            </w:r>
            <w:r w:rsidR="00EF6E3D">
              <w:rPr>
                <w:rFonts w:ascii="宋体" w:eastAsia="宋体" w:hAnsi="宋体" w:cs="宋体" w:hint="eastAsia"/>
                <w:sz w:val="20"/>
                <w:szCs w:val="20"/>
              </w:rPr>
              <w:t>活动</w:t>
            </w:r>
          </w:p>
          <w:p w14:paraId="2302087B" w14:textId="77777777" w:rsidR="00841ECA" w:rsidRDefault="00841ECA">
            <w:pPr>
              <w:pStyle w:val="TableParagraph"/>
              <w:spacing w:before="8"/>
              <w:rPr>
                <w:rFonts w:ascii="宋体" w:eastAsia="宋体" w:hAnsi="宋体" w:cs="宋体"/>
                <w:sz w:val="20"/>
                <w:szCs w:val="20"/>
              </w:rPr>
            </w:pPr>
          </w:p>
          <w:p w14:paraId="420A1AA1" w14:textId="77777777" w:rsidR="00841ECA" w:rsidRDefault="004A5AA7">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EF6E3D">
                  <w:rPr>
                    <w:rFonts w:ascii="MS Gothic" w:eastAsia="MS Gothic" w:hAnsi="MS Gothic" w:cs="宋体" w:hint="eastAsia"/>
                    <w:sz w:val="20"/>
                    <w:szCs w:val="20"/>
                  </w:rPr>
                  <w:t>☐</w:t>
                </w:r>
              </w:sdtContent>
            </w:sdt>
            <w:r w:rsidR="00EF6E3D">
              <w:rPr>
                <w:rFonts w:ascii="宋体" w:eastAsia="宋体" w:hAnsi="宋体" w:cs="宋体" w:hint="eastAsia"/>
                <w:sz w:val="20"/>
                <w:szCs w:val="20"/>
              </w:rPr>
              <w:t>现场参观</w:t>
            </w:r>
          </w:p>
          <w:p w14:paraId="0C6DA63A" w14:textId="77777777" w:rsidR="00841ECA" w:rsidRDefault="00841ECA">
            <w:pPr>
              <w:pStyle w:val="TableParagraph"/>
              <w:spacing w:before="11"/>
              <w:rPr>
                <w:rFonts w:ascii="宋体" w:eastAsia="宋体" w:hAnsi="宋体" w:cs="宋体"/>
                <w:sz w:val="20"/>
                <w:szCs w:val="20"/>
              </w:rPr>
            </w:pPr>
          </w:p>
          <w:p w14:paraId="4C351352" w14:textId="77777777" w:rsidR="00841ECA" w:rsidRDefault="004A5AA7">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EF6E3D">
                  <w:rPr>
                    <w:rFonts w:ascii="MS Gothic" w:eastAsia="MS Gothic" w:hAnsi="MS Gothic" w:cs="宋体" w:hint="eastAsia"/>
                    <w:sz w:val="20"/>
                    <w:szCs w:val="20"/>
                  </w:rPr>
                  <w:t>☐</w:t>
                </w:r>
              </w:sdtContent>
            </w:sdt>
            <w:r w:rsidR="00EF6E3D">
              <w:rPr>
                <w:rFonts w:ascii="宋体" w:eastAsia="宋体" w:hAnsi="宋体" w:cs="宋体" w:hint="eastAsia"/>
                <w:sz w:val="20"/>
                <w:szCs w:val="20"/>
              </w:rPr>
              <w:t>其他（</w:t>
            </w:r>
            <w:r w:rsidR="00EF6E3D">
              <w:rPr>
                <w:rFonts w:ascii="宋体" w:eastAsia="宋体" w:hAnsi="宋体" w:cs="宋体" w:hint="eastAsia"/>
                <w:sz w:val="20"/>
                <w:szCs w:val="20"/>
                <w:u w:val="single"/>
              </w:rPr>
              <w:t>请文字说明其他活动内容）</w:t>
            </w:r>
          </w:p>
        </w:tc>
      </w:tr>
      <w:tr w:rsidR="00841ECA" w14:paraId="221C49FE" w14:textId="77777777">
        <w:trPr>
          <w:trHeight w:val="1120"/>
          <w:jc w:val="center"/>
        </w:trPr>
        <w:tc>
          <w:tcPr>
            <w:tcW w:w="2580" w:type="dxa"/>
            <w:vAlign w:val="center"/>
          </w:tcPr>
          <w:p w14:paraId="10F52628" w14:textId="77777777" w:rsidR="00841ECA" w:rsidRDefault="00EF6E3D">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38BE30A0" w14:textId="77777777" w:rsidR="00841ECA" w:rsidRDefault="00EF6E3D">
            <w:pPr>
              <w:pStyle w:val="TableParagraph"/>
              <w:spacing w:before="100" w:beforeAutospacing="1" w:line="360" w:lineRule="auto"/>
              <w:rPr>
                <w:rFonts w:asciiTheme="minorEastAsia" w:eastAsiaTheme="minorEastAsia" w:hAnsiTheme="minorEastAsia" w:cs="宋体"/>
                <w:sz w:val="20"/>
                <w:szCs w:val="20"/>
                <w:lang w:val="en-US"/>
              </w:rPr>
            </w:pPr>
            <w:r>
              <w:rPr>
                <w:rFonts w:ascii="宋体" w:eastAsia="宋体" w:hAnsi="宋体" w:cs="宋体" w:hint="eastAsia"/>
                <w:sz w:val="20"/>
                <w:szCs w:val="20"/>
                <w:lang w:val="en-US"/>
              </w:rPr>
              <w:t>线上参与公司2025年半年度业绩说明会的投资者</w:t>
            </w:r>
          </w:p>
        </w:tc>
      </w:tr>
      <w:tr w:rsidR="00841ECA" w14:paraId="22D465C5" w14:textId="77777777">
        <w:trPr>
          <w:trHeight w:val="558"/>
          <w:jc w:val="center"/>
        </w:trPr>
        <w:tc>
          <w:tcPr>
            <w:tcW w:w="2580" w:type="dxa"/>
            <w:vAlign w:val="center"/>
          </w:tcPr>
          <w:p w14:paraId="32E55F86" w14:textId="77777777" w:rsidR="00841ECA" w:rsidRDefault="00EF6E3D">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75F3D085" w14:textId="77777777" w:rsidR="00841ECA" w:rsidRDefault="00EF6E3D">
            <w:pPr>
              <w:spacing w:before="100" w:beforeAutospacing="1" w:line="360" w:lineRule="auto"/>
              <w:rPr>
                <w:sz w:val="20"/>
                <w:szCs w:val="20"/>
              </w:rPr>
            </w:pPr>
            <w:r>
              <w:rPr>
                <w:rFonts w:asciiTheme="minorEastAsia" w:eastAsiaTheme="minorEastAsia" w:hAnsiTheme="minorEastAsia" w:cstheme="minorEastAsia" w:hint="eastAsia"/>
                <w:sz w:val="20"/>
                <w:szCs w:val="20"/>
              </w:rPr>
              <w:t>2025年09月29日 15:00-16:30</w:t>
            </w:r>
          </w:p>
        </w:tc>
      </w:tr>
      <w:tr w:rsidR="00841ECA" w14:paraId="2AA97B1A" w14:textId="77777777">
        <w:trPr>
          <w:trHeight w:val="561"/>
          <w:jc w:val="center"/>
        </w:trPr>
        <w:tc>
          <w:tcPr>
            <w:tcW w:w="2580" w:type="dxa"/>
            <w:vAlign w:val="center"/>
          </w:tcPr>
          <w:p w14:paraId="6D1374C9" w14:textId="77777777" w:rsidR="00841ECA" w:rsidRDefault="00EF6E3D">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4530FFA8" w14:textId="77777777" w:rsidR="00841ECA" w:rsidRDefault="00EF6E3D">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价值在线（https://www.ir-online.cn/）网络互动</w:t>
            </w:r>
          </w:p>
        </w:tc>
      </w:tr>
      <w:tr w:rsidR="00841ECA" w14:paraId="21A161FB" w14:textId="77777777">
        <w:trPr>
          <w:trHeight w:val="558"/>
          <w:jc w:val="center"/>
        </w:trPr>
        <w:tc>
          <w:tcPr>
            <w:tcW w:w="2580" w:type="dxa"/>
            <w:vAlign w:val="center"/>
          </w:tcPr>
          <w:p w14:paraId="77482005" w14:textId="77777777" w:rsidR="00841ECA" w:rsidRDefault="00EF6E3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698C0312" w14:textId="77777777" w:rsidR="00841ECA" w:rsidRDefault="00EF6E3D">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 尹剑平</w:t>
            </w:r>
            <w:r>
              <w:rPr>
                <w:rFonts w:ascii="宋体" w:eastAsia="宋体" w:hAnsi="宋体" w:cs="宋体"/>
                <w:sz w:val="20"/>
                <w:szCs w:val="20"/>
              </w:rPr>
              <w:br/>
              <w:t>总经理 黄浩</w:t>
            </w:r>
            <w:r>
              <w:rPr>
                <w:rFonts w:ascii="宋体" w:eastAsia="宋体" w:hAnsi="宋体" w:cs="宋体"/>
                <w:sz w:val="20"/>
                <w:szCs w:val="20"/>
              </w:rPr>
              <w:br/>
              <w:t>董事会秘书 张雪梅</w:t>
            </w:r>
            <w:r>
              <w:rPr>
                <w:rFonts w:ascii="宋体" w:eastAsia="宋体" w:hAnsi="宋体" w:cs="宋体"/>
                <w:sz w:val="20"/>
                <w:szCs w:val="20"/>
              </w:rPr>
              <w:br/>
              <w:t>财务总监 李平</w:t>
            </w:r>
            <w:r>
              <w:rPr>
                <w:rFonts w:ascii="宋体" w:eastAsia="宋体" w:hAnsi="宋体" w:cs="宋体"/>
                <w:sz w:val="20"/>
                <w:szCs w:val="20"/>
              </w:rPr>
              <w:br/>
              <w:t>独立董事 陆利康</w:t>
            </w:r>
          </w:p>
        </w:tc>
      </w:tr>
      <w:tr w:rsidR="00841ECA" w14:paraId="792F0F2A" w14:textId="77777777">
        <w:trPr>
          <w:trHeight w:val="2800"/>
          <w:jc w:val="center"/>
        </w:trPr>
        <w:tc>
          <w:tcPr>
            <w:tcW w:w="2580" w:type="dxa"/>
          </w:tcPr>
          <w:p w14:paraId="0DC78AA5" w14:textId="77777777" w:rsidR="00841ECA" w:rsidRDefault="00841ECA">
            <w:pPr>
              <w:pStyle w:val="TableParagraph"/>
              <w:rPr>
                <w:rFonts w:ascii="宋体" w:eastAsia="宋体" w:hAnsi="宋体" w:cs="宋体"/>
                <w:b/>
                <w:bCs/>
                <w:sz w:val="20"/>
                <w:szCs w:val="20"/>
              </w:rPr>
            </w:pPr>
          </w:p>
          <w:p w14:paraId="67E6BBE5" w14:textId="77777777" w:rsidR="00841ECA" w:rsidRDefault="00841ECA">
            <w:pPr>
              <w:pStyle w:val="TableParagraph"/>
              <w:rPr>
                <w:rFonts w:ascii="宋体" w:eastAsia="宋体" w:hAnsi="宋体" w:cs="宋体"/>
                <w:b/>
                <w:bCs/>
                <w:sz w:val="20"/>
                <w:szCs w:val="20"/>
              </w:rPr>
            </w:pPr>
          </w:p>
          <w:p w14:paraId="1E3A6646" w14:textId="77777777" w:rsidR="00841ECA" w:rsidRDefault="00841ECA">
            <w:pPr>
              <w:pStyle w:val="TableParagraph"/>
              <w:spacing w:before="5"/>
              <w:rPr>
                <w:rFonts w:ascii="宋体" w:eastAsia="宋体" w:hAnsi="宋体" w:cs="宋体"/>
                <w:b/>
                <w:bCs/>
                <w:sz w:val="20"/>
                <w:szCs w:val="20"/>
              </w:rPr>
            </w:pPr>
          </w:p>
          <w:p w14:paraId="0F2B30A8" w14:textId="77777777" w:rsidR="00841ECA" w:rsidRDefault="00EF6E3D">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5942097F" w14:textId="77777777" w:rsidR="004A6D42" w:rsidRDefault="00EF6E3D">
            <w:pPr>
              <w:pStyle w:val="TableParagraph"/>
              <w:spacing w:before="100" w:beforeAutospacing="1" w:line="360" w:lineRule="auto"/>
              <w:rPr>
                <w:rFonts w:ascii="宋体" w:eastAsia="宋体" w:hAnsi="宋体" w:cs="宋体"/>
                <w:sz w:val="20"/>
              </w:rPr>
            </w:pPr>
            <w:r>
              <w:rPr>
                <w:rFonts w:ascii="宋体" w:eastAsia="宋体" w:hAnsi="宋体" w:cs="宋体"/>
                <w:b/>
                <w:sz w:val="20"/>
              </w:rPr>
              <w:t>1.展望一下3季度及下半年经营状况，何时披露3季报</w:t>
            </w:r>
            <w:r>
              <w:rPr>
                <w:rFonts w:ascii="宋体" w:eastAsia="宋体" w:hAnsi="宋体" w:cs="宋体"/>
                <w:b/>
                <w:sz w:val="20"/>
              </w:rPr>
              <w:br/>
            </w:r>
            <w:r>
              <w:rPr>
                <w:rFonts w:ascii="宋体" w:eastAsia="宋体" w:hAnsi="宋体" w:cs="宋体"/>
                <w:sz w:val="20"/>
              </w:rPr>
              <w:t xml:space="preserve">    答:尊敬的投资者，您好！关于公司三季度及下半年的经营状况，我们保持审慎乐观的态度。公司将继续深耕主营业务，积极把握半导体设备、新能源、航空航天、大科学等下游市场的增长机遇，持续优化产品结构，并通过技术创新与成本控制提升经营质量。具体的财务数据和经营业绩，请以公司正式披露的定期报告为准。         </w:t>
            </w:r>
          </w:p>
          <w:p w14:paraId="4062B732"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lastRenderedPageBreak/>
              <w:t>公司第三季度报告的披露时间为2025年10月30日，敬请关注上海证券交易所网站（www.sse.com.cn）公告。我们将严格按照监管要求及时履行信息披露义务。感谢您的理解与支持！</w:t>
            </w:r>
            <w:r>
              <w:rPr>
                <w:rFonts w:ascii="宋体" w:eastAsia="宋体" w:hAnsi="宋体" w:cs="宋体"/>
                <w:sz w:val="20"/>
              </w:rPr>
              <w:br/>
            </w:r>
            <w:r>
              <w:rPr>
                <w:rFonts w:ascii="宋体" w:eastAsia="宋体" w:hAnsi="宋体" w:cs="宋体"/>
                <w:b/>
                <w:sz w:val="20"/>
              </w:rPr>
              <w:t xml:space="preserve">    2.公司目前有哪些已转化为商业化应用的专利成果？</w:t>
            </w:r>
            <w:r>
              <w:rPr>
                <w:rFonts w:ascii="宋体" w:eastAsia="宋体" w:hAnsi="宋体" w:cs="宋体"/>
                <w:b/>
                <w:sz w:val="20"/>
              </w:rPr>
              <w:br/>
            </w:r>
            <w:r>
              <w:rPr>
                <w:rFonts w:ascii="宋体" w:eastAsia="宋体" w:hAnsi="宋体" w:cs="宋体"/>
                <w:sz w:val="20"/>
              </w:rPr>
              <w:t xml:space="preserve">    答:尊敬的投资者，您好！ 公司高度重视技术创新与知识产权保护，多项专利技术已成功实现商业化应用，并转化为核心产品。在真空电容器领域，公司的“一体式水冷可变陶瓷真空电容器”等发明专利技术，已应用于批量交付的真空电容器产品中，并获得国内高端半导体设备客户的认可，用于刻蚀、薄膜沉积等工艺的射频电源系统。         </w:t>
            </w:r>
          </w:p>
          <w:p w14:paraId="6E121F8D"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 xml:space="preserve">在高压直流接触器领域，基于“直流接触器”等实用新型专利技术开发的新一代Y系列车载高压直流接触器、大电流储能接触器已实现批量生产，广泛应用于新能源汽车及储能领域。公司控股子公司获得的海外车企约1.60亿欧元的模块化轻量化配电装置定点项目，即采用了最新的Y系列接触器产品。         </w:t>
            </w:r>
          </w:p>
          <w:p w14:paraId="722DE1E1"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 xml:space="preserve">此外，在真空继电器领域，公司的“真空继电器触头组件”等专利技术显著提升了产品性能与可靠性，相关产品在航天航空及军工等领域已获得客户认可并形成稳定销售。         </w:t>
            </w:r>
          </w:p>
          <w:p w14:paraId="4F816732"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公司将持续推动研发成果的产业化，以创新驱动发展，不断提升核心竞争力。感谢您的关注与支持！</w:t>
            </w:r>
            <w:r>
              <w:rPr>
                <w:rFonts w:ascii="宋体" w:eastAsia="宋体" w:hAnsi="宋体" w:cs="宋体"/>
                <w:sz w:val="20"/>
              </w:rPr>
              <w:br/>
            </w:r>
            <w:r>
              <w:rPr>
                <w:rFonts w:ascii="宋体" w:eastAsia="宋体" w:hAnsi="宋体" w:cs="宋体"/>
                <w:b/>
                <w:sz w:val="20"/>
              </w:rPr>
              <w:t xml:space="preserve">    3.请问公司未来是否有围绕主营业务拓展产业链的计划？</w:t>
            </w:r>
            <w:r>
              <w:rPr>
                <w:rFonts w:ascii="宋体" w:eastAsia="宋体" w:hAnsi="宋体" w:cs="宋体"/>
                <w:b/>
                <w:sz w:val="20"/>
              </w:rPr>
              <w:br/>
            </w:r>
            <w:r>
              <w:rPr>
                <w:rFonts w:ascii="宋体" w:eastAsia="宋体" w:hAnsi="宋体" w:cs="宋体"/>
                <w:sz w:val="20"/>
              </w:rPr>
              <w:t xml:space="preserve">    答:尊敬的投资者，您好！ 公司未来将继续深耕主营业务，并围绕电子真空器件这一核心基础，审慎而积极地寻求产业链的延伸与拓展。主要方向包括：         </w:t>
            </w:r>
          </w:p>
          <w:p w14:paraId="4522EF2A"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 xml:space="preserve">一是在纵向深化上，将持续加大研发投入，提升现有产品在半导体设备、新能源、航空航天等高端应用领域的性能和可靠性，巩固并扩大市场份额。         </w:t>
            </w:r>
          </w:p>
          <w:p w14:paraId="136CF607"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 xml:space="preserve">二是在横向协同上，将关注与主营业务技术同源或市场渠道高度重叠的细分领域，通过技术开发或投资合作等方式，丰富产品组合，提升整体解决方案的能力，为客户创造更大价值。         </w:t>
            </w:r>
            <w:r w:rsidR="004A6D42">
              <w:rPr>
                <w:rFonts w:ascii="宋体" w:eastAsia="宋体" w:hAnsi="宋体" w:cs="宋体"/>
                <w:sz w:val="20"/>
              </w:rPr>
              <w:t xml:space="preserve">  </w:t>
            </w:r>
          </w:p>
          <w:p w14:paraId="367DCE91"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lastRenderedPageBreak/>
              <w:t>公司始终坚持以技术创新为驱动，任何拓展计划都将紧密围绕公司战略，以确保发展的稳健与可持续。感谢您的关注与支持！</w:t>
            </w:r>
            <w:r>
              <w:rPr>
                <w:rFonts w:ascii="宋体" w:eastAsia="宋体" w:hAnsi="宋体" w:cs="宋体"/>
                <w:sz w:val="20"/>
              </w:rPr>
              <w:br/>
            </w:r>
            <w:r>
              <w:rPr>
                <w:rFonts w:ascii="宋体" w:eastAsia="宋体" w:hAnsi="宋体" w:cs="宋体"/>
                <w:b/>
                <w:sz w:val="20"/>
              </w:rPr>
              <w:t xml:space="preserve">    4.请问控制盒在营收增长中的贡献占比大概有多少？</w:t>
            </w:r>
            <w:r>
              <w:rPr>
                <w:rFonts w:ascii="宋体" w:eastAsia="宋体" w:hAnsi="宋体" w:cs="宋体"/>
                <w:b/>
                <w:sz w:val="20"/>
              </w:rPr>
              <w:br/>
            </w:r>
            <w:r>
              <w:rPr>
                <w:rFonts w:ascii="宋体" w:eastAsia="宋体" w:hAnsi="宋体" w:cs="宋体"/>
                <w:sz w:val="20"/>
              </w:rPr>
              <w:t xml:space="preserve">    答:尊敬的投资者，您好！公司近年来积极推进产品结构的优化与升级，核心战略之一便是从单一的核心电子真空器件供应商，向更高附加值的模块化、系统化解决方案提供商转型。2025年上半年，公司控制盒整体的销售收入约1.70亿元，占公司2025年上半年销售收入约30%。         </w:t>
            </w:r>
          </w:p>
          <w:p w14:paraId="721557B0"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 xml:space="preserve">在这一转型过程中，"控制盒"这类集成化产品代表了明确的发展方向。它不仅仅是多个器件的简单组合，而是基于我们对下游应用场景（如半导体设备、新能源整车电路控制等）的深刻理解，将自主研发的真空电容器、直流接触器等核心器件，与控制电路、软件算法等进行系统集成，形成功能完整、性能可靠的子系统。         </w:t>
            </w:r>
          </w:p>
          <w:p w14:paraId="0994742E"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 xml:space="preserve">这种"器件→模块/系统"的产品结构转变，旨在提升产品的技术壁垒和整体价值量，增强客户粘性，从而驱动营收质量和规模的共同增长。目前，相关集成化产品的研发与市场推广工作正在有序推进，并已取得积极进展。         </w:t>
            </w:r>
          </w:p>
          <w:p w14:paraId="0822CA84"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公司将持续致力于产品创新与产业升级，为投资者创造长期价值。感谢您的理解与支持！</w:t>
            </w:r>
            <w:r>
              <w:rPr>
                <w:rFonts w:ascii="宋体" w:eastAsia="宋体" w:hAnsi="宋体" w:cs="宋体"/>
                <w:sz w:val="20"/>
              </w:rPr>
              <w:br/>
            </w:r>
            <w:r>
              <w:rPr>
                <w:rFonts w:ascii="宋体" w:eastAsia="宋体" w:hAnsi="宋体" w:cs="宋体"/>
                <w:b/>
                <w:sz w:val="20"/>
              </w:rPr>
              <w:t xml:space="preserve">    5.报告期内各研发项目的平均研发周期是多久？</w:t>
            </w:r>
            <w:r>
              <w:rPr>
                <w:rFonts w:ascii="宋体" w:eastAsia="宋体" w:hAnsi="宋体" w:cs="宋体"/>
                <w:b/>
                <w:sz w:val="20"/>
              </w:rPr>
              <w:br/>
            </w:r>
            <w:r>
              <w:rPr>
                <w:rFonts w:ascii="宋体" w:eastAsia="宋体" w:hAnsi="宋体" w:cs="宋体"/>
                <w:sz w:val="20"/>
              </w:rPr>
              <w:t xml:space="preserve">    答:尊敬的投资者，您好！ 公司的研发项目根据其技术复杂度、创新程度及应用领域的不同，研发周期也存在差异。通常而言，针对现有产品性能提升和改进的研发项目，周期相对较短，一般在1-2年；而对于前瞻性的新技术、新平台或重大集成化项目（如系统级产品），其研发周期则可能长达3年之久。         </w:t>
            </w:r>
          </w:p>
          <w:p w14:paraId="0E4011ED"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 xml:space="preserve">公司始终秉持严谨科学的研发管理体系，每个研发项目均经过严格的立项评审、过程管理和成果评估。研发周期的设定以确保技术成熟度、产品可靠性和最终的市场竞争力为目标。         </w:t>
            </w:r>
          </w:p>
          <w:p w14:paraId="4DAE63F7"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公司将持续通过高效、精准的研发投入，巩固和提升核心竞争力。感谢您的关注与支持！</w:t>
            </w:r>
            <w:r>
              <w:rPr>
                <w:rFonts w:ascii="宋体" w:eastAsia="宋体" w:hAnsi="宋体" w:cs="宋体"/>
                <w:sz w:val="20"/>
              </w:rPr>
              <w:br/>
            </w:r>
            <w:r>
              <w:rPr>
                <w:rFonts w:ascii="宋体" w:eastAsia="宋体" w:hAnsi="宋体" w:cs="宋体"/>
                <w:b/>
                <w:sz w:val="20"/>
              </w:rPr>
              <w:t xml:space="preserve">    6.瑞普电气在风光储项目上的进展怎么样？</w:t>
            </w:r>
            <w:r>
              <w:rPr>
                <w:rFonts w:ascii="宋体" w:eastAsia="宋体" w:hAnsi="宋体" w:cs="宋体"/>
                <w:b/>
                <w:sz w:val="20"/>
              </w:rPr>
              <w:br/>
            </w:r>
            <w:r>
              <w:rPr>
                <w:rFonts w:ascii="宋体" w:eastAsia="宋体" w:hAnsi="宋体" w:cs="宋体"/>
                <w:sz w:val="20"/>
              </w:rPr>
              <w:lastRenderedPageBreak/>
              <w:t xml:space="preserve">    答:尊敬的投资者，您好！ 瑞普电气作为公司在新能源领域的重要战略布局，目前在风光储项目上已取得实质性进展。其核心产品真空交流接触器已成功进入光伏、储能、风电等应用场景，具体应用于光伏逆变器、储能系统、风电变流器等关键设备，并与国内主流设备制造商建立了稳定的合作关系。         </w:t>
            </w:r>
          </w:p>
          <w:p w14:paraId="7D139694"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 xml:space="preserve">在技术方面，瑞普电气已开发出适用于1,500V高压系统的大电流容量产品，能够满足风光储场景对高安全性和可靠性的严苛要求。目前部分产品已完成客户认证并实现批量交付，尤其在储能领域表现突出，成为推动公司新能源业务增长的重要动力。         </w:t>
            </w:r>
          </w:p>
          <w:p w14:paraId="4316C2CE"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未来，瑞普电气将继续依托母公司在电子真空技术领域的深厚积累，持续优化产品性能，深化与行业头部客户的合作，进一步拓展在新能源领域的市场份额。感谢您的理解与支持！</w:t>
            </w:r>
            <w:r>
              <w:rPr>
                <w:rFonts w:ascii="宋体" w:eastAsia="宋体" w:hAnsi="宋体" w:cs="宋体"/>
                <w:sz w:val="20"/>
              </w:rPr>
              <w:br/>
            </w:r>
            <w:r>
              <w:rPr>
                <w:rFonts w:ascii="宋体" w:eastAsia="宋体" w:hAnsi="宋体" w:cs="宋体"/>
                <w:b/>
                <w:sz w:val="20"/>
              </w:rPr>
              <w:t xml:space="preserve">    7.目前智能化设备在生产环节的覆盖率如何？</w:t>
            </w:r>
            <w:r>
              <w:rPr>
                <w:rFonts w:ascii="宋体" w:eastAsia="宋体" w:hAnsi="宋体" w:cs="宋体"/>
                <w:b/>
                <w:sz w:val="20"/>
              </w:rPr>
              <w:br/>
            </w:r>
            <w:r>
              <w:rPr>
                <w:rFonts w:ascii="宋体" w:eastAsia="宋体" w:hAnsi="宋体" w:cs="宋体"/>
                <w:sz w:val="20"/>
              </w:rPr>
              <w:t xml:space="preserve">    答:尊敬的投资者，您好！公司高度重视生产环节的智能化与自动化升级，并已在此领域取得实质性进展。目前，我们正持续推进智能制造战略，在主要生产线上广泛应用自动化设备与智能化系统，显著提升了生产效率和产品品质的一致性。特别是在核心产品的制造环节，自动化覆盖率已达到较高水平。         </w:t>
            </w:r>
          </w:p>
          <w:p w14:paraId="2EE6EEBA"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 xml:space="preserve">与此同时，公司于2025年成立了专门的AI研究小组，积极推动研发、生产及管理全流程的智能化转型。例如，我们已完成DeepSeek本地化知识库的训练与部署，旨在通过人工智能技术进一步优化工艺控制、质量检测和运营管理流程。         </w:t>
            </w:r>
          </w:p>
          <w:p w14:paraId="6839573E"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未来，公司将继续加大在智能制造方面的投入，通过技术创新驱动生产模式的升级，持续巩固和提升核心竞争力。感谢您的支持！</w:t>
            </w:r>
            <w:r>
              <w:rPr>
                <w:rFonts w:ascii="宋体" w:eastAsia="宋体" w:hAnsi="宋体" w:cs="宋体"/>
                <w:sz w:val="20"/>
              </w:rPr>
              <w:br/>
            </w:r>
            <w:r>
              <w:rPr>
                <w:rFonts w:ascii="宋体" w:eastAsia="宋体" w:hAnsi="宋体" w:cs="宋体"/>
                <w:b/>
                <w:sz w:val="20"/>
              </w:rPr>
              <w:t xml:space="preserve">    8.请问公司后续研发投入的重点方向是否会有变化？</w:t>
            </w:r>
            <w:r>
              <w:rPr>
                <w:rFonts w:ascii="宋体" w:eastAsia="宋体" w:hAnsi="宋体" w:cs="宋体"/>
                <w:b/>
                <w:sz w:val="20"/>
              </w:rPr>
              <w:br/>
            </w:r>
            <w:r>
              <w:rPr>
                <w:rFonts w:ascii="宋体" w:eastAsia="宋体" w:hAnsi="宋体" w:cs="宋体"/>
                <w:sz w:val="20"/>
              </w:rPr>
              <w:t xml:space="preserve">    答:尊敬的投资者，您好！ 公司后续的研发投入将紧密围绕既定的战略规划，在持续巩固现有核心优势的基础上，进行有序的深化与拓展。总体方向保持连贯性，但会随着市场需求和技术趋势进行动态优化和聚焦。研发投入将重点聚焦于以下三个方向：         </w:t>
            </w:r>
          </w:p>
          <w:p w14:paraId="54B75FA8"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现有技术的迭代升级：继续深耕电子真空技术，对真空电容器、真空继电器、高压直流接触器等核心产品进行性能提升、成本</w:t>
            </w:r>
            <w:r>
              <w:rPr>
                <w:rFonts w:ascii="宋体" w:eastAsia="宋体" w:hAnsi="宋体" w:cs="宋体"/>
                <w:sz w:val="20"/>
              </w:rPr>
              <w:lastRenderedPageBreak/>
              <w:t xml:space="preserve">优化及可靠性增强，以巩固在半导体设备、新能源等现有优势市场的领先地位。         </w:t>
            </w:r>
          </w:p>
          <w:p w14:paraId="62190C07"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 xml:space="preserve">系统化与集成化创新：重点向高附加值的模块化、系统化解决方案倾斜资源。着力开发如“控制盒”之类的集成化产品，将核心器件与控制系统结合，以满足下游客户对整体解决方案日益增长的需求，提升单客价值。         </w:t>
            </w:r>
          </w:p>
          <w:p w14:paraId="7A2B14BB"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 xml:space="preserve">前瞻性技术储备：积极布局与公司核心技术协同的新兴应用领域，例如围绕商业航天、高端医疗设备、可控核聚变等对高可靠性电子真空器件需求旺盛的赛道，进行前瞻性的技术研究和项目孵化。         </w:t>
            </w:r>
          </w:p>
          <w:p w14:paraId="35517404"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公司始终坚持技术创新驱动发展的战略，未来的研发投入将持续服务于产品结构升级和市场拓展的需要，以提升公司的长期核心竞争力。感谢您的关注与支持！</w:t>
            </w:r>
            <w:r>
              <w:rPr>
                <w:rFonts w:ascii="宋体" w:eastAsia="宋体" w:hAnsi="宋体" w:cs="宋体"/>
                <w:sz w:val="20"/>
              </w:rPr>
              <w:br/>
            </w:r>
            <w:r>
              <w:rPr>
                <w:rFonts w:ascii="宋体" w:eastAsia="宋体" w:hAnsi="宋体" w:cs="宋体"/>
                <w:b/>
                <w:sz w:val="20"/>
              </w:rPr>
              <w:t xml:space="preserve">    9.公司未来是否有拓展医疗领域的计划？</w:t>
            </w:r>
            <w:r>
              <w:rPr>
                <w:rFonts w:ascii="宋体" w:eastAsia="宋体" w:hAnsi="宋体" w:cs="宋体"/>
                <w:b/>
                <w:sz w:val="20"/>
              </w:rPr>
              <w:br/>
            </w:r>
            <w:r>
              <w:rPr>
                <w:rFonts w:ascii="宋体" w:eastAsia="宋体" w:hAnsi="宋体" w:cs="宋体"/>
                <w:sz w:val="20"/>
              </w:rPr>
              <w:t xml:space="preserve">    答:尊敬的投资者，您好！ 公司始终以开放和审慎的态度关注与自身核心技术协同的新兴应用领域。医疗领域，特别是高端医疗设备，对电子真空器件的可靠性、稳定性和精密性有着极高的要求，这与国力电子在高可靠、长寿命电子真空产品方面的技术优势高度契合。         </w:t>
            </w:r>
          </w:p>
          <w:p w14:paraId="7688ADBD"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基于此，公司将医疗领域视为具有战略潜力的发展方向之一。目前，我们正积极进行前期的技术调研和市场研究，探索将公司的核心产品（如速调管、磁控管等）应用于癌症治疗或一些特殊治疗的应用场景。感谢您的理解与支持！</w:t>
            </w:r>
            <w:r>
              <w:rPr>
                <w:rFonts w:ascii="宋体" w:eastAsia="宋体" w:hAnsi="宋体" w:cs="宋体"/>
                <w:sz w:val="20"/>
              </w:rPr>
              <w:br/>
            </w:r>
            <w:r>
              <w:rPr>
                <w:rFonts w:ascii="宋体" w:eastAsia="宋体" w:hAnsi="宋体" w:cs="宋体"/>
                <w:b/>
                <w:sz w:val="20"/>
              </w:rPr>
              <w:t xml:space="preserve">    10.您好，请问是否有新的大科学工程项目订单落地？</w:t>
            </w:r>
            <w:r>
              <w:rPr>
                <w:rFonts w:ascii="宋体" w:eastAsia="宋体" w:hAnsi="宋体" w:cs="宋体"/>
                <w:b/>
                <w:sz w:val="20"/>
              </w:rPr>
              <w:br/>
            </w:r>
            <w:r>
              <w:rPr>
                <w:rFonts w:ascii="宋体" w:eastAsia="宋体" w:hAnsi="宋体" w:cs="宋体"/>
                <w:sz w:val="20"/>
              </w:rPr>
              <w:t xml:space="preserve">    答:尊敬的投资者，您好！公司在高端电子真空器件领域的技术实力和产品可靠性，已得到国内外多个重大科技基础设施项目（如散裂中子源、江门中微子实验装置等）的认可，并已成功应用。这为公司继续拓展该领域奠定了坚实基础。         </w:t>
            </w:r>
          </w:p>
          <w:p w14:paraId="25ECFFE7"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 xml:space="preserve">目前，公司正在积极跟进数个处于不同阶段（包括前期技术交流、方案论证等）的大科学工程相关项目机会。这些项目通常具有技术指标要求极高、认证周期长的特点。公司研发与市场团队正紧密配合，致力于提供满足其特殊需求的定制化解决方案。         </w:t>
            </w:r>
          </w:p>
          <w:p w14:paraId="55797A96" w14:textId="1021F6CB" w:rsidR="00841ECA" w:rsidRDefault="00EF6E3D" w:rsidP="004A6D42">
            <w:pPr>
              <w:pStyle w:val="TableParagraph"/>
              <w:spacing w:before="100" w:beforeAutospacing="1" w:line="360" w:lineRule="auto"/>
              <w:ind w:firstLineChars="200" w:firstLine="400"/>
              <w:rPr>
                <w:rFonts w:ascii="宋体" w:eastAsia="宋体" w:hAnsi="宋体" w:cs="宋体"/>
                <w:sz w:val="20"/>
                <w:szCs w:val="20"/>
              </w:rPr>
            </w:pPr>
            <w:r>
              <w:rPr>
                <w:rFonts w:ascii="宋体" w:eastAsia="宋体" w:hAnsi="宋体" w:cs="宋体"/>
                <w:sz w:val="20"/>
              </w:rPr>
              <w:lastRenderedPageBreak/>
              <w:t>公司对该市场领域保持长期看好并将持续投入，任何重大进展都将及时、透明地向市场传达。感谢您的理解与支持！</w:t>
            </w:r>
          </w:p>
        </w:tc>
      </w:tr>
      <w:tr w:rsidR="00841ECA" w14:paraId="1ED08E04" w14:textId="77777777">
        <w:trPr>
          <w:trHeight w:val="999"/>
          <w:jc w:val="center"/>
        </w:trPr>
        <w:tc>
          <w:tcPr>
            <w:tcW w:w="2580" w:type="dxa"/>
            <w:vAlign w:val="center"/>
          </w:tcPr>
          <w:p w14:paraId="7E034CC1" w14:textId="77777777" w:rsidR="00841ECA" w:rsidRDefault="00EF6E3D">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622FD26A" w14:textId="77777777" w:rsidR="00841ECA" w:rsidRDefault="00EF6E3D">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1E96D743" w14:textId="77777777" w:rsidR="00841ECA" w:rsidRDefault="00EF6E3D" w:rsidP="004A6D42">
            <w:pPr>
              <w:pStyle w:val="TableParagraph"/>
              <w:spacing w:before="100" w:beforeAutospacing="1" w:line="360" w:lineRule="auto"/>
              <w:ind w:firstLineChars="200" w:firstLine="400"/>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841ECA" w14:paraId="155D8634" w14:textId="77777777">
        <w:trPr>
          <w:trHeight w:val="558"/>
          <w:jc w:val="center"/>
        </w:trPr>
        <w:tc>
          <w:tcPr>
            <w:tcW w:w="2580" w:type="dxa"/>
            <w:vAlign w:val="center"/>
          </w:tcPr>
          <w:p w14:paraId="1F515748" w14:textId="77777777" w:rsidR="00841ECA" w:rsidRDefault="00EF6E3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51D95916" w14:textId="428EF010" w:rsidR="00841ECA" w:rsidRDefault="004A6D42" w:rsidP="004A6D42">
            <w:pPr>
              <w:pStyle w:val="TableParagraph"/>
              <w:spacing w:before="100" w:beforeAutospacing="1" w:line="360" w:lineRule="auto"/>
              <w:ind w:firstLineChars="200" w:firstLine="400"/>
              <w:rPr>
                <w:rFonts w:ascii="宋体" w:eastAsia="宋体" w:hAnsi="宋体" w:cs="宋体"/>
                <w:sz w:val="20"/>
                <w:szCs w:val="20"/>
              </w:rPr>
            </w:pPr>
            <w:r>
              <w:rPr>
                <w:rFonts w:ascii="宋体" w:eastAsia="宋体" w:hAnsi="宋体" w:cs="宋体"/>
                <w:sz w:val="20"/>
                <w:szCs w:val="20"/>
              </w:rPr>
              <w:t>无</w:t>
            </w:r>
          </w:p>
        </w:tc>
      </w:tr>
      <w:tr w:rsidR="00841ECA" w14:paraId="38F2336A" w14:textId="77777777">
        <w:trPr>
          <w:trHeight w:val="558"/>
          <w:jc w:val="center"/>
        </w:trPr>
        <w:tc>
          <w:tcPr>
            <w:tcW w:w="2580" w:type="dxa"/>
            <w:vAlign w:val="center"/>
          </w:tcPr>
          <w:p w14:paraId="47ADABE6" w14:textId="77777777" w:rsidR="00841ECA" w:rsidRDefault="00EF6E3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3995C498" w14:textId="77777777" w:rsidR="00841ECA" w:rsidRDefault="00EF6E3D" w:rsidP="004A6D42">
            <w:pPr>
              <w:pStyle w:val="TableParagraph"/>
              <w:spacing w:before="100" w:beforeAutospacing="1"/>
              <w:ind w:firstLineChars="100" w:firstLine="200"/>
              <w:rPr>
                <w:rFonts w:ascii="宋体" w:eastAsia="宋体" w:hAnsi="宋体" w:cs="宋体"/>
                <w:sz w:val="20"/>
                <w:szCs w:val="20"/>
              </w:rPr>
            </w:pPr>
            <w:r>
              <w:rPr>
                <w:rFonts w:ascii="宋体" w:eastAsia="宋体" w:hAnsi="宋体" w:cs="宋体"/>
                <w:sz w:val="20"/>
                <w:szCs w:val="20"/>
              </w:rPr>
              <w:t>2025年09月29日</w:t>
            </w:r>
          </w:p>
        </w:tc>
      </w:tr>
    </w:tbl>
    <w:p w14:paraId="46CB8644" w14:textId="77777777" w:rsidR="00841ECA" w:rsidRDefault="00841ECA">
      <w:pPr>
        <w:rPr>
          <w:rFonts w:ascii="宋体" w:eastAsia="宋体" w:hAnsi="宋体" w:cs="宋体"/>
          <w:sz w:val="28"/>
          <w:szCs w:val="36"/>
        </w:rPr>
      </w:pPr>
    </w:p>
    <w:sectPr w:rsidR="00841ECA">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6CA36" w14:textId="77777777" w:rsidR="004A5AA7" w:rsidRDefault="004A5AA7" w:rsidP="004A6D42">
      <w:r>
        <w:separator/>
      </w:r>
    </w:p>
  </w:endnote>
  <w:endnote w:type="continuationSeparator" w:id="0">
    <w:p w14:paraId="683E42FC" w14:textId="77777777" w:rsidR="004A5AA7" w:rsidRDefault="004A5AA7" w:rsidP="004A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005B6" w14:textId="77777777" w:rsidR="004A5AA7" w:rsidRDefault="004A5AA7" w:rsidP="004A6D42">
      <w:r>
        <w:separator/>
      </w:r>
    </w:p>
  </w:footnote>
  <w:footnote w:type="continuationSeparator" w:id="0">
    <w:p w14:paraId="274B2FC6" w14:textId="77777777" w:rsidR="004A5AA7" w:rsidRDefault="004A5AA7" w:rsidP="004A6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A5AA7"/>
    <w:rsid w:val="004A6D42"/>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41ECA"/>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DF0C66"/>
    <w:rsid w:val="00E16FDA"/>
    <w:rsid w:val="00E35F58"/>
    <w:rsid w:val="00E45BD9"/>
    <w:rsid w:val="00E66FFC"/>
    <w:rsid w:val="00E759D6"/>
    <w:rsid w:val="00E84A8C"/>
    <w:rsid w:val="00E976DE"/>
    <w:rsid w:val="00EC0F83"/>
    <w:rsid w:val="00EE3187"/>
    <w:rsid w:val="00EF499B"/>
    <w:rsid w:val="00EF6E3D"/>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3CE7CB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9BAEEE-5E1B-40FF-AE71-5BFD2CBD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FACDD-5A11-4021-BDCD-C9C3075C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626</Words>
  <Characters>3571</Characters>
  <Application>Microsoft Office Word</Application>
  <DocSecurity>0</DocSecurity>
  <Lines>29</Lines>
  <Paragraphs>8</Paragraphs>
  <ScaleCrop>false</ScaleCrop>
  <Company>P R C</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SN04679</cp:lastModifiedBy>
  <cp:revision>10</cp:revision>
  <dcterms:created xsi:type="dcterms:W3CDTF">2022-04-12T06:10:00Z</dcterms:created>
  <dcterms:modified xsi:type="dcterms:W3CDTF">2025-09-29T08:43:00Z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eyJoZGlkIjoiYjhjODI2MTdkZjNlNmE1ZDUzMWZlNTQ5ZTM1NTE3NTkiLCJ1c2VySWQiOiI0NjA0MTQ5MTgifQ==</vt:lpwstr>
  </property>
</Properties>
</file>