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right="240"/>
        <w:jc w:val="right"/>
        <w:rPr>
          <w:rFonts w:hint="default" w:ascii="Times New Roman" w:hAnsi="Times New Roman" w:cs="Times New Roman"/>
          <w:bCs/>
          <w:iCs/>
          <w:color w:val="000000"/>
          <w:sz w:val="24"/>
        </w:rPr>
      </w:pPr>
      <w:r>
        <w:rPr>
          <w:rFonts w:hint="default" w:ascii="Times New Roman" w:hAnsi="Times New Roman" w:cs="Times New Roman"/>
          <w:bCs/>
          <w:iCs/>
          <w:color w:val="000000"/>
          <w:sz w:val="24"/>
        </w:rPr>
        <w:t xml:space="preserve">证券代码：688362                                 证券简称：甬矽电子    </w:t>
      </w:r>
    </w:p>
    <w:p>
      <w:pPr>
        <w:spacing w:line="360" w:lineRule="auto"/>
        <w:jc w:val="center"/>
        <w:rPr>
          <w:rFonts w:hint="default" w:ascii="Times New Roman" w:hAnsi="Times New Roman" w:cs="Times New Roman"/>
          <w:b/>
          <w:bCs/>
          <w:iCs/>
          <w:color w:val="000000"/>
          <w:sz w:val="28"/>
        </w:rPr>
      </w:pPr>
      <w:r>
        <w:rPr>
          <w:rFonts w:hint="default" w:ascii="Times New Roman" w:hAnsi="Times New Roman" w:cs="Times New Roman"/>
          <w:b/>
          <w:bCs/>
          <w:sz w:val="28"/>
        </w:rPr>
        <w:t>甬矽电子（宁波）</w:t>
      </w:r>
      <w:r>
        <w:rPr>
          <w:rFonts w:hint="default" w:ascii="Times New Roman" w:hAnsi="Times New Roman" w:cs="Times New Roman"/>
          <w:b/>
          <w:bCs/>
          <w:iCs/>
          <w:color w:val="000000"/>
          <w:sz w:val="28"/>
        </w:rPr>
        <w:t>股份有限公司投资者关系活动记录表</w:t>
      </w:r>
    </w:p>
    <w:p>
      <w:pPr>
        <w:spacing w:line="400" w:lineRule="exact"/>
        <w:jc w:val="right"/>
        <w:rPr>
          <w:rFonts w:hint="default" w:ascii="Times New Roman" w:hAnsi="Times New Roman" w:eastAsia="宋体" w:cs="Times New Roman"/>
          <w:bCs/>
          <w:iCs/>
          <w:color w:val="000000"/>
          <w:sz w:val="24"/>
          <w:lang w:val="en-US" w:eastAsia="zh-CN"/>
        </w:rPr>
      </w:pPr>
      <w:r>
        <w:rPr>
          <w:rFonts w:hint="default" w:ascii="Times New Roman" w:hAnsi="Times New Roman" w:cs="Times New Roman"/>
          <w:bCs/>
          <w:iCs/>
          <w:color w:val="000000"/>
          <w:sz w:val="24"/>
        </w:rPr>
        <w:t>编号：2025-0</w:t>
      </w:r>
      <w:r>
        <w:rPr>
          <w:rFonts w:hint="eastAsia" w:cs="Times New Roman"/>
          <w:bCs/>
          <w:iCs/>
          <w:color w:val="000000"/>
          <w:sz w:val="24"/>
          <w:lang w:val="en-US" w:eastAsia="zh-CN"/>
        </w:rPr>
        <w:t>11</w:t>
      </w:r>
    </w:p>
    <w:tbl>
      <w:tblPr>
        <w:tblStyle w:val="8"/>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6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投资者关系活动类别</w:t>
            </w:r>
          </w:p>
          <w:p>
            <w:pPr>
              <w:spacing w:line="360" w:lineRule="auto"/>
              <w:rPr>
                <w:rFonts w:hint="default" w:ascii="Times New Roman" w:hAnsi="Times New Roman" w:cs="Times New Roman"/>
                <w:bCs/>
                <w:iCs/>
                <w:color w:val="000000"/>
                <w:sz w:val="24"/>
              </w:rPr>
            </w:pPr>
          </w:p>
        </w:tc>
        <w:tc>
          <w:tcPr>
            <w:tcW w:w="6048"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sym w:font="Wingdings 2" w:char="00A3"/>
            </w:r>
            <w:r>
              <w:rPr>
                <w:rFonts w:hint="default" w:ascii="Times New Roman" w:hAnsi="Times New Roman" w:cs="Times New Roman"/>
                <w:sz w:val="24"/>
              </w:rPr>
              <w:t xml:space="preserve">特定对象调研        </w:t>
            </w:r>
            <w:r>
              <w:rPr>
                <w:rFonts w:hint="default" w:ascii="Times New Roman" w:hAnsi="Times New Roman" w:cs="Times New Roman"/>
                <w:bCs/>
                <w:iCs/>
                <w:color w:val="000000"/>
                <w:sz w:val="24"/>
              </w:rPr>
              <w:t>□</w:t>
            </w:r>
            <w:r>
              <w:rPr>
                <w:rFonts w:hint="default" w:ascii="Times New Roman" w:hAnsi="Times New Roman" w:cs="Times New Roman"/>
                <w:sz w:val="24"/>
              </w:rPr>
              <w:t>分析师会议</w:t>
            </w:r>
          </w:p>
          <w:p>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w:t>
            </w:r>
            <w:r>
              <w:rPr>
                <w:rFonts w:hint="default" w:ascii="Times New Roman" w:hAnsi="Times New Roman" w:cs="Times New Roman"/>
                <w:sz w:val="24"/>
              </w:rPr>
              <w:t xml:space="preserve">媒体采访            </w:t>
            </w:r>
            <w:r>
              <w:rPr>
                <w:rFonts w:hint="default" w:ascii="Times New Roman" w:hAnsi="Times New Roman" w:cs="Times New Roman"/>
                <w:bCs/>
                <w:iCs/>
                <w:color w:val="000000"/>
                <w:sz w:val="24"/>
              </w:rPr>
              <w:sym w:font="Wingdings 2" w:char="00A3"/>
            </w:r>
            <w:r>
              <w:rPr>
                <w:rFonts w:hint="default" w:ascii="Times New Roman" w:hAnsi="Times New Roman" w:cs="Times New Roman"/>
                <w:sz w:val="24"/>
              </w:rPr>
              <w:t>业绩说明会</w:t>
            </w:r>
          </w:p>
          <w:p>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w:t>
            </w:r>
            <w:r>
              <w:rPr>
                <w:rFonts w:hint="default" w:ascii="Times New Roman" w:hAnsi="Times New Roman" w:cs="Times New Roman"/>
                <w:sz w:val="24"/>
              </w:rPr>
              <w:t xml:space="preserve">新闻发布会          </w:t>
            </w:r>
            <w:r>
              <w:rPr>
                <w:rFonts w:hint="default" w:ascii="Times New Roman" w:hAnsi="Times New Roman" w:cs="Times New Roman"/>
                <w:bCs/>
                <w:iCs/>
                <w:color w:val="000000"/>
                <w:sz w:val="24"/>
              </w:rPr>
              <w:t>□</w:t>
            </w:r>
            <w:r>
              <w:rPr>
                <w:rFonts w:hint="default" w:ascii="Times New Roman" w:hAnsi="Times New Roman" w:cs="Times New Roman"/>
                <w:sz w:val="24"/>
              </w:rPr>
              <w:t>路演活动</w:t>
            </w:r>
          </w:p>
          <w:p>
            <w:pPr>
              <w:tabs>
                <w:tab w:val="left" w:pos="3045"/>
                <w:tab w:val="center" w:pos="3199"/>
              </w:tabs>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sym w:font="Wingdings 2" w:char="0052"/>
            </w:r>
            <w:r>
              <w:rPr>
                <w:rFonts w:hint="default" w:ascii="Times New Roman" w:hAnsi="Times New Roman" w:cs="Times New Roman"/>
                <w:sz w:val="24"/>
              </w:rPr>
              <w:t>现场参观</w:t>
            </w:r>
            <w:r>
              <w:rPr>
                <w:rFonts w:hint="default" w:ascii="Times New Roman" w:hAnsi="Times New Roman" w:cs="Times New Roman"/>
                <w:bCs/>
                <w:iCs/>
                <w:color w:val="000000"/>
                <w:sz w:val="24"/>
              </w:rPr>
              <w:tab/>
            </w:r>
          </w:p>
          <w:p>
            <w:pPr>
              <w:tabs>
                <w:tab w:val="center" w:pos="3199"/>
              </w:tabs>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sym w:font="Wingdings 2" w:char="00A3"/>
            </w:r>
            <w:r>
              <w:rPr>
                <w:rFonts w:hint="default" w:ascii="Times New Roman" w:hAnsi="Times New Roman" w:cs="Times New Roman"/>
                <w:sz w:val="24"/>
              </w:rPr>
              <w:t>其他 （</w:t>
            </w:r>
            <w:r>
              <w:rPr>
                <w:rFonts w:hint="default" w:ascii="Times New Roman" w:hAnsi="Times New Roman" w:cs="Times New Roman"/>
                <w:sz w:val="24"/>
                <w:u w:val="single"/>
              </w:rPr>
              <w:t>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参与单位名称及人员姓名</w:t>
            </w:r>
          </w:p>
        </w:tc>
        <w:tc>
          <w:tcPr>
            <w:tcW w:w="604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hint="default" w:ascii="Times New Roman" w:hAnsi="Times New Roman" w:eastAsia="宋体" w:cs="Times New Roman"/>
                <w:bCs/>
                <w:iCs/>
                <w:color w:val="000000"/>
                <w:sz w:val="24"/>
                <w:lang w:val="en-US" w:eastAsia="zh-CN"/>
              </w:rPr>
            </w:pPr>
            <w:r>
              <w:rPr>
                <w:rFonts w:hint="eastAsia" w:cs="Times New Roman"/>
                <w:bCs/>
                <w:iCs/>
                <w:color w:val="000000"/>
                <w:sz w:val="24"/>
                <w:lang w:val="en-US" w:eastAsia="zh-CN"/>
              </w:rPr>
              <w:t>申万宏源、</w:t>
            </w:r>
            <w:r>
              <w:rPr>
                <w:rFonts w:hint="default" w:ascii="Times New Roman" w:hAnsi="Times New Roman" w:cs="Times New Roman"/>
                <w:bCs/>
                <w:iCs/>
                <w:color w:val="000000"/>
                <w:sz w:val="24"/>
              </w:rPr>
              <w:t>重阳投资</w:t>
            </w:r>
            <w:r>
              <w:rPr>
                <w:rFonts w:hint="eastAsia" w:cs="Times New Roman"/>
                <w:bCs/>
                <w:iCs/>
                <w:color w:val="000000"/>
                <w:sz w:val="24"/>
                <w:lang w:eastAsia="zh-CN"/>
              </w:rPr>
              <w:t>、西部证券、诺鼎资产、银叶投资、银华基金、宁银理财、伟星资</w:t>
            </w:r>
            <w:r>
              <w:rPr>
                <w:rFonts w:hint="eastAsia" w:cs="Times New Roman"/>
                <w:bCs/>
                <w:iCs/>
                <w:color w:val="000000"/>
                <w:sz w:val="24"/>
                <w:lang w:val="en-US" w:eastAsia="zh-CN"/>
              </w:rPr>
              <w:t>管、华安合鑫、中海基金、长江证券、国君资管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时间</w:t>
            </w:r>
          </w:p>
        </w:tc>
        <w:tc>
          <w:tcPr>
            <w:tcW w:w="604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2025年</w:t>
            </w:r>
            <w:r>
              <w:rPr>
                <w:rFonts w:hint="eastAsia" w:cs="Times New Roman"/>
                <w:bCs/>
                <w:iCs/>
                <w:color w:val="000000"/>
                <w:sz w:val="24"/>
                <w:lang w:val="en-US" w:eastAsia="zh-CN"/>
              </w:rPr>
              <w:t>10</w:t>
            </w:r>
            <w:r>
              <w:rPr>
                <w:rFonts w:hint="default" w:ascii="Times New Roman" w:hAnsi="Times New Roman" w:cs="Times New Roman"/>
                <w:bCs/>
                <w:i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地点</w:t>
            </w:r>
          </w:p>
        </w:tc>
        <w:tc>
          <w:tcPr>
            <w:tcW w:w="604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上市公司接待人员姓名</w:t>
            </w:r>
          </w:p>
        </w:tc>
        <w:tc>
          <w:tcPr>
            <w:tcW w:w="604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董事会秘书、副总经理李大林先生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投资者关系活动主要内容介绍</w:t>
            </w:r>
          </w:p>
        </w:tc>
        <w:tc>
          <w:tcPr>
            <w:tcW w:w="6048" w:type="dxa"/>
            <w:tcBorders>
              <w:top w:val="single" w:color="auto" w:sz="4" w:space="0"/>
              <w:left w:val="single" w:color="auto" w:sz="4" w:space="0"/>
              <w:bottom w:val="single" w:color="auto" w:sz="4" w:space="0"/>
              <w:right w:val="single" w:color="auto" w:sz="4" w:space="0"/>
            </w:tcBorders>
            <w:shd w:val="clear" w:color="auto" w:fill="auto"/>
          </w:tcPr>
          <w:p>
            <w:pPr>
              <w:widowControl/>
              <w:numPr>
                <w:ilvl w:val="0"/>
                <w:numId w:val="0"/>
              </w:numPr>
              <w:spacing w:line="360" w:lineRule="auto"/>
              <w:ind w:firstLine="482" w:firstLineChars="200"/>
              <w:jc w:val="left"/>
              <w:rPr>
                <w:rFonts w:hint="default" w:ascii="Times New Roman" w:hAnsi="Times New Roman" w:cs="Times New Roman"/>
                <w:sz w:val="24"/>
              </w:rPr>
            </w:pPr>
            <w:r>
              <w:rPr>
                <w:rFonts w:hint="default" w:ascii="Times New Roman" w:hAnsi="Times New Roman" w:cs="Times New Roman"/>
                <w:b/>
                <w:bCs/>
                <w:sz w:val="24"/>
              </w:rPr>
              <w:t>1、</w:t>
            </w:r>
            <w:r>
              <w:rPr>
                <w:rFonts w:hint="eastAsia" w:cs="Times New Roman"/>
                <w:b/>
                <w:bCs/>
                <w:sz w:val="24"/>
                <w:lang w:val="en-US" w:eastAsia="zh-CN"/>
              </w:rPr>
              <w:t>下游</w:t>
            </w:r>
            <w:r>
              <w:rPr>
                <w:rFonts w:hint="default" w:ascii="Times New Roman" w:hAnsi="Times New Roman" w:cs="Times New Roman"/>
                <w:b/>
                <w:bCs/>
                <w:sz w:val="24"/>
              </w:rPr>
              <w:t>应用领域</w:t>
            </w:r>
            <w:r>
              <w:rPr>
                <w:rFonts w:hint="eastAsia" w:cs="Times New Roman"/>
                <w:b/>
                <w:bCs/>
                <w:sz w:val="24"/>
                <w:lang w:val="en-US" w:eastAsia="zh-CN"/>
              </w:rPr>
              <w:t>营收及增速情况和后续展望</w:t>
            </w:r>
            <w:r>
              <w:rPr>
                <w:rFonts w:hint="default" w:ascii="Times New Roman" w:hAnsi="Times New Roman" w:cs="Times New Roman"/>
                <w:b/>
                <w:bCs/>
                <w:sz w:val="24"/>
              </w:rPr>
              <w:t xml:space="preserve">？ </w:t>
            </w:r>
            <w:r>
              <w:rPr>
                <w:rFonts w:hint="default" w:ascii="Times New Roman" w:hAnsi="Times New Roman" w:cs="Times New Roman"/>
                <w:sz w:val="24"/>
              </w:rPr>
              <w:t xml:space="preserve"> </w:t>
            </w:r>
          </w:p>
          <w:p>
            <w:pPr>
              <w:widowControl/>
              <w:numPr>
                <w:ilvl w:val="0"/>
                <w:numId w:val="0"/>
              </w:numPr>
              <w:spacing w:line="360" w:lineRule="auto"/>
              <w:ind w:firstLine="480" w:firstLineChars="200"/>
              <w:jc w:val="left"/>
              <w:rPr>
                <w:rFonts w:hint="default" w:ascii="Times New Roman" w:hAnsi="Times New Roman" w:eastAsia="宋体" w:cs="Times New Roman"/>
                <w:sz w:val="24"/>
                <w:lang w:val="en-US"/>
              </w:rPr>
            </w:pPr>
            <w:r>
              <w:rPr>
                <w:rFonts w:hint="default" w:ascii="Times New Roman" w:hAnsi="Times New Roman" w:eastAsia="宋体" w:cs="Times New Roman"/>
                <w:sz w:val="24"/>
              </w:rPr>
              <w:t>AIoT</w:t>
            </w:r>
            <w:r>
              <w:rPr>
                <w:rFonts w:hint="default" w:ascii="Times New Roman" w:hAnsi="Times New Roman" w:cs="Times New Roman"/>
                <w:sz w:val="24"/>
                <w:lang w:val="en-US" w:eastAsia="zh-CN"/>
              </w:rPr>
              <w:t>营收</w:t>
            </w:r>
            <w:r>
              <w:rPr>
                <w:rFonts w:hint="default" w:ascii="Times New Roman" w:hAnsi="Times New Roman" w:eastAsia="宋体" w:cs="Times New Roman"/>
                <w:sz w:val="24"/>
              </w:rPr>
              <w:t>占比接近70%，</w:t>
            </w:r>
            <w:r>
              <w:rPr>
                <w:rFonts w:hint="default" w:ascii="Times New Roman" w:hAnsi="Times New Roman" w:cs="Times New Roman"/>
                <w:sz w:val="24"/>
                <w:lang w:val="en-US" w:eastAsia="zh-CN"/>
              </w:rPr>
              <w:t>上半年整体增速在30%左右，</w:t>
            </w:r>
            <w:r>
              <w:rPr>
                <w:rFonts w:hint="eastAsia" w:cs="Times New Roman"/>
                <w:sz w:val="24"/>
                <w:lang w:val="en-US" w:eastAsia="zh-CN"/>
              </w:rPr>
              <w:t>A</w:t>
            </w:r>
            <w:r>
              <w:rPr>
                <w:rFonts w:hint="default" w:ascii="Times New Roman" w:hAnsi="Times New Roman" w:cs="Times New Roman"/>
                <w:sz w:val="24"/>
                <w:lang w:val="en-US" w:eastAsia="zh-CN"/>
              </w:rPr>
              <w:t>IoT领域目前处于“创新驱动”周期，AI驱动下新应用场景渗透率提升，下游需求</w:t>
            </w:r>
            <w:r>
              <w:rPr>
                <w:rFonts w:hint="eastAsia" w:cs="Times New Roman"/>
                <w:sz w:val="24"/>
                <w:lang w:val="en-US" w:eastAsia="zh-CN"/>
              </w:rPr>
              <w:t>预计将会持续</w:t>
            </w:r>
            <w:r>
              <w:rPr>
                <w:rFonts w:hint="default" w:ascii="Times New Roman" w:hAnsi="Times New Roman" w:cs="Times New Roman"/>
                <w:sz w:val="24"/>
                <w:lang w:val="en-US" w:eastAsia="zh-CN"/>
              </w:rPr>
              <w:t>增长；</w:t>
            </w:r>
            <w:r>
              <w:rPr>
                <w:rFonts w:hint="default" w:ascii="Times New Roman" w:hAnsi="Times New Roman" w:eastAsia="宋体" w:cs="Times New Roman"/>
                <w:sz w:val="24"/>
              </w:rPr>
              <w:t>PA</w:t>
            </w:r>
            <w:r>
              <w:rPr>
                <w:rFonts w:hint="default" w:ascii="Times New Roman" w:hAnsi="Times New Roman" w:cs="Times New Roman"/>
                <w:sz w:val="24"/>
                <w:lang w:val="en-US" w:eastAsia="zh-CN"/>
              </w:rPr>
              <w:t>营收</w:t>
            </w:r>
            <w:r>
              <w:rPr>
                <w:rFonts w:hint="default" w:ascii="Times New Roman" w:hAnsi="Times New Roman" w:eastAsia="宋体" w:cs="Times New Roman"/>
                <w:sz w:val="24"/>
              </w:rPr>
              <w:t>占比约为10%，</w:t>
            </w:r>
            <w:r>
              <w:rPr>
                <w:rFonts w:hint="default" w:ascii="Times New Roman" w:hAnsi="Times New Roman" w:cs="Times New Roman"/>
                <w:sz w:val="24"/>
                <w:lang w:val="en-US" w:eastAsia="zh-CN"/>
              </w:rPr>
              <w:t>后续重心以PAMiF及PAMiD模组类产品为主</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安防营收占比约为10%，整体增速平稳；</w:t>
            </w:r>
            <w:r>
              <w:rPr>
                <w:rFonts w:hint="default" w:ascii="Times New Roman" w:hAnsi="Times New Roman" w:eastAsia="宋体" w:cs="Times New Roman"/>
                <w:sz w:val="24"/>
              </w:rPr>
              <w:t>运算和车规产品</w:t>
            </w:r>
            <w:r>
              <w:rPr>
                <w:rFonts w:hint="eastAsia" w:cs="Times New Roman"/>
                <w:sz w:val="24"/>
                <w:lang w:val="en-US" w:eastAsia="zh-CN"/>
              </w:rPr>
              <w:t>营收</w:t>
            </w:r>
            <w:r>
              <w:rPr>
                <w:rFonts w:hint="default" w:ascii="Times New Roman" w:hAnsi="Times New Roman" w:eastAsia="宋体" w:cs="Times New Roman"/>
                <w:sz w:val="24"/>
              </w:rPr>
              <w:t>合计占比10%左右</w:t>
            </w:r>
            <w:r>
              <w:rPr>
                <w:rFonts w:hint="default" w:ascii="Times New Roman" w:hAnsi="Times New Roman" w:cs="Times New Roman"/>
                <w:sz w:val="24"/>
                <w:lang w:eastAsia="zh-CN"/>
              </w:rPr>
              <w:t>，</w:t>
            </w:r>
            <w:r>
              <w:rPr>
                <w:rFonts w:hint="eastAsia" w:cs="Times New Roman"/>
                <w:sz w:val="24"/>
                <w:lang w:val="en-US" w:eastAsia="zh-CN"/>
              </w:rPr>
              <w:t>未来随着国内车规设计公司的发展以及海外车规大厂本土化布局战略的推进和AI发展对运算类芯片的需求，预计</w:t>
            </w:r>
            <w:r>
              <w:rPr>
                <w:rFonts w:hint="default" w:ascii="Times New Roman" w:hAnsi="Times New Roman" w:eastAsia="宋体" w:cs="Times New Roman"/>
                <w:sz w:val="24"/>
              </w:rPr>
              <w:t>运算和车规</w:t>
            </w:r>
            <w:r>
              <w:rPr>
                <w:rFonts w:hint="eastAsia" w:cs="Times New Roman"/>
                <w:sz w:val="24"/>
                <w:lang w:val="en-US" w:eastAsia="zh-CN"/>
              </w:rPr>
              <w:t>领域的增速较快，营收占比将会持续提升</w:t>
            </w:r>
            <w:r>
              <w:rPr>
                <w:rFonts w:hint="default" w:ascii="Times New Roman" w:hAnsi="Times New Roman" w:cs="Times New Roman"/>
                <w:sz w:val="24"/>
                <w:lang w:val="en-US" w:eastAsia="zh-CN"/>
              </w:rPr>
              <w:t>。</w:t>
            </w:r>
          </w:p>
          <w:p>
            <w:pPr>
              <w:widowControl/>
              <w:numPr>
                <w:ilvl w:val="0"/>
                <w:numId w:val="0"/>
              </w:numPr>
              <w:spacing w:line="360" w:lineRule="auto"/>
              <w:ind w:firstLine="482" w:firstLineChars="200"/>
              <w:jc w:val="left"/>
              <w:rPr>
                <w:rFonts w:hint="default" w:ascii="Times New Roman" w:hAnsi="Times New Roman" w:cs="Times New Roman"/>
                <w:b/>
                <w:bCs/>
                <w:sz w:val="24"/>
              </w:rPr>
            </w:pPr>
            <w:r>
              <w:rPr>
                <w:rFonts w:hint="eastAsia" w:cs="Times New Roman"/>
                <w:b/>
                <w:bCs/>
                <w:sz w:val="24"/>
                <w:lang w:val="en-US" w:eastAsia="zh-CN"/>
              </w:rPr>
              <w:t>2</w:t>
            </w:r>
            <w:r>
              <w:rPr>
                <w:rFonts w:hint="default" w:ascii="Times New Roman" w:hAnsi="Times New Roman" w:cs="Times New Roman"/>
                <w:b/>
                <w:bCs/>
                <w:sz w:val="24"/>
              </w:rPr>
              <w:t>、2.5D封装</w:t>
            </w:r>
            <w:r>
              <w:rPr>
                <w:rFonts w:hint="eastAsia" w:cs="Times New Roman"/>
                <w:b/>
                <w:bCs/>
                <w:sz w:val="24"/>
                <w:lang w:val="en-US" w:eastAsia="zh-CN"/>
              </w:rPr>
              <w:t>进展</w:t>
            </w:r>
            <w:r>
              <w:rPr>
                <w:rFonts w:hint="default" w:ascii="Times New Roman" w:hAnsi="Times New Roman" w:cs="Times New Roman"/>
                <w:b/>
                <w:bCs/>
                <w:sz w:val="24"/>
              </w:rPr>
              <w:t>？</w:t>
            </w:r>
          </w:p>
          <w:p>
            <w:pPr>
              <w:widowControl/>
              <w:numPr>
                <w:ilvl w:val="0"/>
                <w:numId w:val="0"/>
              </w:numPr>
              <w:spacing w:line="360" w:lineRule="auto"/>
              <w:ind w:firstLine="480" w:firstLineChars="200"/>
              <w:jc w:val="left"/>
              <w:rPr>
                <w:rFonts w:hint="default" w:ascii="Times New Roman" w:hAnsi="Times New Roman" w:cs="Times New Roman"/>
                <w:b/>
                <w:bCs/>
                <w:sz w:val="24"/>
              </w:rPr>
            </w:pPr>
            <w:r>
              <w:rPr>
                <w:rFonts w:hint="default" w:ascii="Times New Roman" w:hAnsi="Times New Roman" w:eastAsia="宋体" w:cs="Times New Roman"/>
                <w:sz w:val="24"/>
                <w:szCs w:val="24"/>
                <w:lang w:val="en-US" w:eastAsia="zh-CN"/>
              </w:rPr>
              <w:t>公司2.5D封装产线于2024年四季度通线，目前</w:t>
            </w:r>
            <w:r>
              <w:rPr>
                <w:rFonts w:hint="eastAsia" w:cs="Times New Roman"/>
                <w:sz w:val="24"/>
                <w:szCs w:val="24"/>
                <w:lang w:val="en-US" w:eastAsia="zh-CN"/>
              </w:rPr>
              <w:t>正在</w:t>
            </w:r>
            <w:r>
              <w:rPr>
                <w:rFonts w:hint="default" w:ascii="Times New Roman" w:hAnsi="Times New Roman" w:eastAsia="宋体" w:cs="Times New Roman"/>
                <w:sz w:val="24"/>
                <w:szCs w:val="24"/>
                <w:lang w:val="en-US" w:eastAsia="zh-CN"/>
              </w:rPr>
              <w:t>和相关客户做产品验证。但由于2.5D封装产品工艺复杂，验证周期较长，实现稳定量产需要一定时间。</w:t>
            </w:r>
          </w:p>
          <w:p>
            <w:pPr>
              <w:widowControl/>
              <w:numPr>
                <w:ilvl w:val="0"/>
                <w:numId w:val="0"/>
              </w:numPr>
              <w:spacing w:line="360" w:lineRule="auto"/>
              <w:ind w:firstLine="482" w:firstLineChars="200"/>
              <w:jc w:val="left"/>
              <w:rPr>
                <w:rFonts w:hint="default" w:ascii="Times New Roman" w:hAnsi="Times New Roman" w:cs="Times New Roman"/>
                <w:b/>
                <w:bCs/>
                <w:sz w:val="24"/>
              </w:rPr>
            </w:pPr>
            <w:r>
              <w:rPr>
                <w:rFonts w:hint="eastAsia" w:cs="Times New Roman"/>
                <w:b/>
                <w:bCs/>
                <w:sz w:val="24"/>
                <w:lang w:val="en-US" w:eastAsia="zh-CN"/>
              </w:rPr>
              <w:t>3</w:t>
            </w:r>
            <w:r>
              <w:rPr>
                <w:rFonts w:hint="default" w:ascii="Times New Roman" w:hAnsi="Times New Roman" w:cs="Times New Roman"/>
                <w:b/>
                <w:bCs/>
                <w:sz w:val="24"/>
              </w:rPr>
              <w:t>、</w:t>
            </w:r>
            <w:r>
              <w:rPr>
                <w:rFonts w:hint="eastAsia" w:cs="Times New Roman"/>
                <w:b/>
                <w:bCs/>
                <w:sz w:val="24"/>
                <w:lang w:val="en-US" w:eastAsia="zh-CN"/>
              </w:rPr>
              <w:t>今年的折旧情况</w:t>
            </w:r>
            <w:r>
              <w:rPr>
                <w:rFonts w:hint="default" w:ascii="Times New Roman" w:hAnsi="Times New Roman" w:cs="Times New Roman"/>
                <w:b/>
                <w:bCs/>
                <w:sz w:val="24"/>
              </w:rPr>
              <w:t>？</w:t>
            </w:r>
          </w:p>
          <w:p>
            <w:pPr>
              <w:widowControl/>
              <w:numPr>
                <w:ilvl w:val="0"/>
                <w:numId w:val="0"/>
              </w:numPr>
              <w:spacing w:line="360" w:lineRule="auto"/>
              <w:ind w:leftChars="0" w:firstLine="480" w:firstLineChars="200"/>
              <w:jc w:val="left"/>
              <w:rPr>
                <w:rFonts w:hint="default" w:ascii="Times New Roman" w:hAnsi="Times New Roman" w:eastAsia="宋体" w:cs="Times New Roman"/>
                <w:sz w:val="24"/>
                <w:szCs w:val="24"/>
                <w:lang w:val="en-US" w:eastAsia="zh-CN"/>
              </w:rPr>
            </w:pPr>
            <w:r>
              <w:rPr>
                <w:rFonts w:hint="eastAsia" w:cs="Times New Roman"/>
                <w:sz w:val="24"/>
                <w:szCs w:val="24"/>
                <w:lang w:val="en-US" w:eastAsia="zh-CN"/>
              </w:rPr>
              <w:t>2025年全年折旧的绝对金额预计相比2024年仍会上涨</w:t>
            </w:r>
            <w:r>
              <w:rPr>
                <w:rFonts w:hint="default" w:ascii="Times New Roman" w:hAnsi="Times New Roman" w:eastAsia="宋体" w:cs="Times New Roman"/>
                <w:sz w:val="24"/>
                <w:lang w:val="en-US" w:eastAsia="zh-CN"/>
              </w:rPr>
              <w:t>。</w:t>
            </w:r>
          </w:p>
          <w:p>
            <w:pPr>
              <w:widowControl/>
              <w:numPr>
                <w:ilvl w:val="0"/>
                <w:numId w:val="0"/>
              </w:numPr>
              <w:spacing w:line="360" w:lineRule="auto"/>
              <w:ind w:firstLine="482" w:firstLineChars="200"/>
              <w:jc w:val="left"/>
              <w:rPr>
                <w:rFonts w:hint="default" w:ascii="Times New Roman" w:hAnsi="Times New Roman" w:cs="Times New Roman"/>
                <w:sz w:val="24"/>
              </w:rPr>
            </w:pPr>
            <w:r>
              <w:rPr>
                <w:rFonts w:hint="eastAsia" w:cs="Times New Roman"/>
                <w:b/>
                <w:bCs/>
                <w:sz w:val="24"/>
                <w:lang w:val="en-US" w:eastAsia="zh-CN"/>
              </w:rPr>
              <w:t>4</w:t>
            </w:r>
            <w:r>
              <w:rPr>
                <w:rFonts w:hint="default" w:ascii="Times New Roman" w:hAnsi="Times New Roman" w:cs="Times New Roman"/>
                <w:b/>
                <w:bCs/>
                <w:sz w:val="24"/>
              </w:rPr>
              <w:t xml:space="preserve">、价格变动趋势？ </w:t>
            </w:r>
            <w:r>
              <w:rPr>
                <w:rFonts w:hint="default" w:ascii="Times New Roman" w:hAnsi="Times New Roman" w:cs="Times New Roman"/>
                <w:sz w:val="24"/>
              </w:rPr>
              <w:t xml:space="preserve"> </w:t>
            </w:r>
          </w:p>
          <w:p>
            <w:pPr>
              <w:widowControl/>
              <w:numPr>
                <w:ilvl w:val="0"/>
                <w:numId w:val="0"/>
              </w:numPr>
              <w:spacing w:line="360" w:lineRule="auto"/>
              <w:ind w:leftChars="0"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rPr>
              <w:t>目前封测行业价格处于相对稳定的状态</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但在产能饱和情况下客户可能会出于缩短交期目的而主动</w:t>
            </w:r>
            <w:r>
              <w:rPr>
                <w:rFonts w:hint="default" w:ascii="Times New Roman" w:hAnsi="Times New Roman" w:cs="Times New Roman"/>
                <w:sz w:val="24"/>
                <w:lang w:val="en-US" w:eastAsia="zh-CN"/>
              </w:rPr>
              <w:t>溢价</w:t>
            </w:r>
            <w:r>
              <w:rPr>
                <w:rFonts w:hint="default" w:ascii="Times New Roman" w:hAnsi="Times New Roman" w:eastAsia="宋体" w:cs="Times New Roman"/>
                <w:sz w:val="24"/>
                <w:lang w:val="en-US" w:eastAsia="zh-CN"/>
              </w:rPr>
              <w:t>。</w:t>
            </w:r>
          </w:p>
          <w:p>
            <w:pPr>
              <w:widowControl/>
              <w:numPr>
                <w:ilvl w:val="0"/>
                <w:numId w:val="0"/>
              </w:numPr>
              <w:spacing w:line="360" w:lineRule="auto"/>
              <w:ind w:firstLine="482" w:firstLineChars="200"/>
              <w:jc w:val="left"/>
              <w:rPr>
                <w:rFonts w:hint="default" w:ascii="Times New Roman" w:hAnsi="Times New Roman" w:cs="Times New Roman"/>
                <w:b/>
                <w:bCs/>
                <w:sz w:val="24"/>
              </w:rPr>
            </w:pPr>
            <w:r>
              <w:rPr>
                <w:rFonts w:hint="eastAsia" w:cs="Times New Roman"/>
                <w:b/>
                <w:bCs/>
                <w:sz w:val="24"/>
                <w:lang w:val="en-US" w:eastAsia="zh-CN"/>
              </w:rPr>
              <w:t>5</w:t>
            </w:r>
            <w:r>
              <w:rPr>
                <w:rFonts w:hint="default" w:ascii="Times New Roman" w:hAnsi="Times New Roman" w:cs="Times New Roman"/>
                <w:b/>
                <w:bCs/>
                <w:sz w:val="24"/>
              </w:rPr>
              <w:t>、公司车规领域主要做哪些产品？</w:t>
            </w:r>
          </w:p>
          <w:p>
            <w:pPr>
              <w:numPr>
                <w:ilvl w:val="0"/>
                <w:numId w:val="0"/>
              </w:numPr>
              <w:spacing w:line="360" w:lineRule="auto"/>
              <w:ind w:firstLine="480" w:firstLineChars="200"/>
              <w:jc w:val="left"/>
              <w:rPr>
                <w:rFonts w:hint="default" w:ascii="Times New Roman" w:hAnsi="Times New Roman" w:eastAsia="宋体" w:cs="Times New Roman"/>
                <w:sz w:val="24"/>
                <w:lang w:eastAsia="zh-CN"/>
              </w:rPr>
            </w:pPr>
            <w:r>
              <w:rPr>
                <w:rFonts w:hint="default" w:ascii="Times New Roman" w:hAnsi="Times New Roman" w:eastAsia="宋体" w:cs="Times New Roman"/>
                <w:sz w:val="24"/>
                <w:szCs w:val="24"/>
                <w:lang w:val="en-US" w:eastAsia="zh-CN"/>
              </w:rPr>
              <w:t>公司在车规领域主要做</w:t>
            </w:r>
            <w:r>
              <w:rPr>
                <w:rFonts w:hint="default" w:ascii="Times New Roman" w:hAnsi="Times New Roman" w:eastAsia="宋体" w:cs="Times New Roman"/>
                <w:sz w:val="24"/>
              </w:rPr>
              <w:t>车载CIS及激光雷达等产品</w:t>
            </w:r>
            <w:r>
              <w:rPr>
                <w:rFonts w:hint="default" w:ascii="Times New Roman" w:hAnsi="Times New Roman" w:eastAsia="宋体"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sz w:val="24"/>
                <w:lang w:val="en-US" w:eastAsia="zh-CN"/>
              </w:rPr>
            </w:pPr>
            <w:r>
              <w:rPr>
                <w:rFonts w:hint="eastAsia"/>
                <w:b/>
                <w:bCs/>
                <w:sz w:val="24"/>
                <w:lang w:val="en-US" w:eastAsia="zh-CN"/>
              </w:rPr>
              <w:t>6</w:t>
            </w:r>
            <w:r>
              <w:rPr>
                <w:rFonts w:hint="eastAsia" w:ascii="Times New Roman" w:hAnsi="Times New Roman"/>
                <w:b/>
                <w:bCs/>
                <w:sz w:val="24"/>
                <w:lang w:val="en-US" w:eastAsia="zh-CN"/>
              </w:rPr>
              <w:t>、</w:t>
            </w:r>
            <w:r>
              <w:rPr>
                <w:rFonts w:hint="default" w:ascii="Times New Roman" w:hAnsi="Times New Roman"/>
                <w:b/>
                <w:bCs/>
                <w:sz w:val="24"/>
                <w:lang w:val="en-US" w:eastAsia="zh-CN"/>
              </w:rPr>
              <w:t>晶圆级</w:t>
            </w:r>
            <w:r>
              <w:rPr>
                <w:rFonts w:hint="eastAsia"/>
                <w:b/>
                <w:bCs/>
                <w:sz w:val="24"/>
                <w:lang w:val="en-US" w:eastAsia="zh-CN"/>
              </w:rPr>
              <w:t>封装产品情况</w:t>
            </w:r>
            <w:r>
              <w:rPr>
                <w:rFonts w:hint="default" w:ascii="Times New Roman" w:hAnsi="Times New Roman"/>
                <w:b/>
                <w:bCs/>
                <w:sz w:val="24"/>
                <w:lang w:val="en-US" w:eastAsia="zh-CN"/>
              </w:rPr>
              <w:t xml:space="preserve">? </w:t>
            </w:r>
            <w:r>
              <w:rPr>
                <w:rFonts w:hint="default" w:ascii="Times New Roman" w:hAnsi="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sz w:val="24"/>
              </w:rPr>
            </w:pPr>
            <w:r>
              <w:rPr>
                <w:rFonts w:hint="eastAsia" w:ascii="Times New Roman" w:hAnsi="Times New Roman"/>
                <w:sz w:val="24"/>
                <w:lang w:val="en-US" w:eastAsia="zh-CN"/>
              </w:rPr>
              <w:t>公司晶圆级</w:t>
            </w:r>
            <w:r>
              <w:rPr>
                <w:rFonts w:hint="eastAsia"/>
                <w:sz w:val="24"/>
                <w:lang w:val="en-US" w:eastAsia="zh-CN"/>
              </w:rPr>
              <w:t>封装</w:t>
            </w:r>
            <w:r>
              <w:rPr>
                <w:rFonts w:hint="eastAsia" w:ascii="Times New Roman" w:hAnsi="Times New Roman"/>
                <w:sz w:val="24"/>
                <w:lang w:val="en-US" w:eastAsia="zh-CN"/>
              </w:rPr>
              <w:t>的稼动率不断提高，毛利率环比逐季度改善</w:t>
            </w:r>
            <w:r>
              <w:rPr>
                <w:rFonts w:hint="eastAsia"/>
                <w:sz w:val="24"/>
                <w:lang w:val="en-US" w:eastAsia="zh-CN"/>
              </w:rPr>
              <w:t>，后续</w:t>
            </w:r>
            <w:r>
              <w:rPr>
                <w:rFonts w:hint="eastAsia" w:ascii="Times New Roman" w:hAnsi="Times New Roman"/>
                <w:sz w:val="24"/>
                <w:lang w:val="en-US" w:eastAsia="zh-CN"/>
              </w:rPr>
              <w:t>随着大客户相关产品的导入，稼动率水平有望提升，促进毛利率转正。</w:t>
            </w:r>
          </w:p>
          <w:p>
            <w:pPr>
              <w:widowControl/>
              <w:numPr>
                <w:ilvl w:val="0"/>
                <w:numId w:val="0"/>
              </w:numPr>
              <w:spacing w:line="360" w:lineRule="auto"/>
              <w:ind w:firstLine="482" w:firstLineChars="200"/>
              <w:jc w:val="left"/>
              <w:rPr>
                <w:rFonts w:hint="default" w:ascii="Times New Roman" w:hAnsi="Times New Roman" w:cs="Times New Roman"/>
                <w:b/>
                <w:bCs/>
                <w:sz w:val="24"/>
              </w:rPr>
            </w:pPr>
            <w:r>
              <w:rPr>
                <w:rFonts w:hint="eastAsia" w:cs="Times New Roman"/>
                <w:b/>
                <w:bCs/>
                <w:sz w:val="24"/>
                <w:lang w:val="en-US" w:eastAsia="zh-CN"/>
              </w:rPr>
              <w:t>7、</w:t>
            </w:r>
            <w:r>
              <w:rPr>
                <w:rFonts w:hint="default" w:ascii="Times New Roman" w:hAnsi="Times New Roman" w:cs="Times New Roman"/>
                <w:b/>
                <w:bCs/>
                <w:sz w:val="24"/>
              </w:rPr>
              <w:t>研发支出未来变动趋势？</w:t>
            </w:r>
          </w:p>
          <w:p>
            <w:pPr>
              <w:widowControl/>
              <w:numPr>
                <w:ilvl w:val="0"/>
                <w:numId w:val="0"/>
              </w:numPr>
              <w:spacing w:line="360" w:lineRule="auto"/>
              <w:ind w:firstLine="480" w:firstLineChars="200"/>
              <w:jc w:val="left"/>
              <w:rPr>
                <w:rFonts w:hint="default" w:ascii="Times New Roman" w:hAnsi="Times New Roman" w:cs="Times New Roman"/>
                <w:sz w:val="24"/>
              </w:rPr>
            </w:pPr>
            <w:r>
              <w:rPr>
                <w:rFonts w:hint="eastAsia" w:cs="Times New Roman"/>
                <w:sz w:val="24"/>
                <w:lang w:val="en-US" w:eastAsia="zh-CN"/>
              </w:rPr>
              <w:t>公司</w:t>
            </w:r>
            <w:r>
              <w:rPr>
                <w:rFonts w:hint="default" w:ascii="Times New Roman" w:hAnsi="Times New Roman" w:cs="Times New Roman"/>
                <w:sz w:val="24"/>
              </w:rPr>
              <w:t>专注于中高端先进封装，围绕先进封装领域，研发投入持续提升，研发费用率将会维持在6%左右的水平。</w:t>
            </w:r>
          </w:p>
          <w:p>
            <w:pPr>
              <w:widowControl/>
              <w:numPr>
                <w:ilvl w:val="0"/>
                <w:numId w:val="0"/>
              </w:numPr>
              <w:spacing w:line="360" w:lineRule="auto"/>
              <w:ind w:firstLine="482" w:firstLineChars="200"/>
              <w:jc w:val="left"/>
              <w:rPr>
                <w:rFonts w:hint="default" w:ascii="Times New Roman" w:hAnsi="Times New Roman" w:cs="Times New Roman"/>
                <w:b/>
                <w:bCs/>
                <w:sz w:val="24"/>
              </w:rPr>
            </w:pPr>
            <w:r>
              <w:rPr>
                <w:rFonts w:hint="eastAsia" w:cs="Times New Roman"/>
                <w:b/>
                <w:bCs/>
                <w:sz w:val="24"/>
                <w:lang w:val="en-US" w:eastAsia="zh-CN"/>
              </w:rPr>
              <w:t>8、一期和二期稼动率情况</w:t>
            </w:r>
            <w:r>
              <w:rPr>
                <w:rFonts w:hint="default" w:ascii="Times New Roman" w:hAnsi="Times New Roman" w:cs="Times New Roman"/>
                <w:b/>
                <w:bCs/>
                <w:sz w:val="24"/>
              </w:rPr>
              <w:t>？</w:t>
            </w:r>
          </w:p>
          <w:p>
            <w:pPr>
              <w:widowControl/>
              <w:numPr>
                <w:ilvl w:val="0"/>
                <w:numId w:val="0"/>
              </w:numPr>
              <w:spacing w:line="360" w:lineRule="auto"/>
              <w:ind w:firstLine="480" w:firstLineChars="200"/>
              <w:jc w:val="left"/>
              <w:rPr>
                <w:rFonts w:hint="default" w:eastAsia="宋体"/>
                <w:sz w:val="24"/>
                <w:lang w:val="en-US" w:eastAsia="zh-CN"/>
              </w:rPr>
            </w:pPr>
            <w:r>
              <w:rPr>
                <w:rFonts w:hint="eastAsia" w:cs="Times New Roman"/>
                <w:sz w:val="24"/>
                <w:lang w:val="en-US" w:eastAsia="zh-CN"/>
              </w:rPr>
              <w:t>一期工厂整体稼动率处于满产状态；二期工厂中FC和QFN等成熟产线处于满产状态，Bumping和WLP等先进封装产线稼动率还在持续爬坡中。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附件清单（如有）</w:t>
            </w:r>
          </w:p>
        </w:tc>
        <w:tc>
          <w:tcPr>
            <w:tcW w:w="604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日期</w:t>
            </w:r>
          </w:p>
        </w:tc>
        <w:tc>
          <w:tcPr>
            <w:tcW w:w="604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hint="default" w:ascii="Times New Roman" w:hAnsi="Times New Roman" w:cs="Times New Roman"/>
                <w:bCs/>
                <w:iCs/>
                <w:color w:val="000000"/>
                <w:sz w:val="24"/>
              </w:rPr>
            </w:pPr>
            <w:r>
              <w:rPr>
                <w:rFonts w:hint="default" w:ascii="Times New Roman" w:hAnsi="Times New Roman" w:cs="Times New Roman"/>
                <w:bCs/>
                <w:iCs/>
                <w:color w:val="000000"/>
                <w:sz w:val="24"/>
              </w:rPr>
              <w:t>2025年</w:t>
            </w:r>
            <w:r>
              <w:rPr>
                <w:rFonts w:hint="eastAsia" w:cs="Times New Roman"/>
                <w:bCs/>
                <w:iCs/>
                <w:color w:val="000000"/>
                <w:sz w:val="24"/>
                <w:lang w:val="en-US" w:eastAsia="zh-CN"/>
              </w:rPr>
              <w:t>10</w:t>
            </w:r>
            <w:r>
              <w:rPr>
                <w:rFonts w:hint="default" w:ascii="Times New Roman" w:hAnsi="Times New Roman" w:cs="Times New Roman"/>
                <w:bCs/>
                <w:iCs/>
                <w:color w:val="000000"/>
                <w:sz w:val="24"/>
              </w:rPr>
              <w:t>月</w:t>
            </w:r>
            <w:r>
              <w:rPr>
                <w:rFonts w:hint="default" w:ascii="Times New Roman" w:hAnsi="Times New Roman" w:cs="Times New Roman"/>
                <w:bCs/>
                <w:iCs/>
                <w:color w:val="000000"/>
                <w:sz w:val="24"/>
                <w:lang w:val="en-US" w:eastAsia="zh-CN"/>
              </w:rPr>
              <w:t>1</w:t>
            </w:r>
            <w:r>
              <w:rPr>
                <w:rFonts w:hint="eastAsia" w:cs="Times New Roman"/>
                <w:bCs/>
                <w:iCs/>
                <w:color w:val="000000"/>
                <w:sz w:val="24"/>
                <w:lang w:val="en-US" w:eastAsia="zh-CN"/>
              </w:rPr>
              <w:t>0</w:t>
            </w:r>
            <w:r>
              <w:rPr>
                <w:rFonts w:hint="default" w:ascii="Times New Roman" w:hAnsi="Times New Roman" w:cs="Times New Roman"/>
                <w:bCs/>
                <w:iCs/>
                <w:color w:val="000000"/>
                <w:sz w:val="24"/>
              </w:rPr>
              <w:t>日</w:t>
            </w: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rPr>
      </w:pPr>
      <w:r>
        <w:rPr>
          <w:rFonts w:hint="default" w:ascii="Times New Roman" w:hAnsi="Times New Roman" w:cs="Times New Roman"/>
          <w:sz w:val="24"/>
        </w:rPr>
        <w:t>注:公司严格遵守信息披露相关规则与投资者进行交流,如涉及公司战略规划等意向性目标,不能视为公司或管理层对公司业绩的保证或承诺,敬请广大投资者注意投资风险。</w:t>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MTIyMGY2MDRhNzYwY2ViNWVhMGY4NmU3Zjc0Y2EifQ=="/>
  </w:docVars>
  <w:rsids>
    <w:rsidRoot w:val="00000000"/>
    <w:rsid w:val="0F1079DC"/>
    <w:rsid w:val="126B4221"/>
    <w:rsid w:val="23F95D47"/>
    <w:rsid w:val="2A9867EC"/>
    <w:rsid w:val="37875627"/>
    <w:rsid w:val="3EEE7FBE"/>
    <w:rsid w:val="448406DC"/>
    <w:rsid w:val="4BC14069"/>
    <w:rsid w:val="4D9A031C"/>
    <w:rsid w:val="553A61C5"/>
    <w:rsid w:val="59F606D4"/>
    <w:rsid w:val="5F677B8F"/>
    <w:rsid w:val="78AC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黑体" w:hAnsi="Calibri" w:eastAsia="黑体" w:cs="Arial"/>
      <w:kern w:val="2"/>
      <w:sz w:val="32"/>
      <w:szCs w:val="32"/>
      <w:lang w:val="en-US" w:eastAsia="zh-CN" w:bidi="ar-SA"/>
    </w:rPr>
  </w:style>
  <w:style w:type="paragraph" w:styleId="3">
    <w:name w:val="annotation text"/>
    <w:basedOn w:val="1"/>
    <w:link w:val="15"/>
    <w:qFormat/>
    <w:uiPriority w:val="99"/>
    <w:pPr>
      <w:jc w:val="left"/>
    </w:pPr>
  </w:style>
  <w:style w:type="paragraph" w:styleId="4">
    <w:name w:val="Balloon Text"/>
    <w:basedOn w:val="1"/>
    <w:link w:val="17"/>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等线" w:hAnsi="等线" w:eastAsia="等线" w:cs="宋体"/>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paragraph" w:styleId="7">
    <w:name w:val="annotation subject"/>
    <w:basedOn w:val="3"/>
    <w:next w:val="3"/>
    <w:link w:val="16"/>
    <w:qFormat/>
    <w:uiPriority w:val="99"/>
    <w:rPr>
      <w:b/>
      <w:bCs/>
    </w:rPr>
  </w:style>
  <w:style w:type="character" w:styleId="10">
    <w:name w:val="Emphasis"/>
    <w:basedOn w:val="9"/>
    <w:qFormat/>
    <w:uiPriority w:val="20"/>
    <w:rPr>
      <w:i/>
    </w:rPr>
  </w:style>
  <w:style w:type="character" w:styleId="11">
    <w:name w:val="annotation reference"/>
    <w:basedOn w:val="9"/>
    <w:qFormat/>
    <w:uiPriority w:val="99"/>
    <w:rPr>
      <w:sz w:val="21"/>
      <w:szCs w:val="21"/>
    </w:rPr>
  </w:style>
  <w:style w:type="paragraph" w:customStyle="1" w:styleId="12">
    <w:name w:val="Normal Indent1"/>
    <w:next w:val="2"/>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文字 字符"/>
    <w:basedOn w:val="9"/>
    <w:link w:val="3"/>
    <w:qFormat/>
    <w:uiPriority w:val="99"/>
    <w:rPr>
      <w:rFonts w:ascii="Times New Roman" w:hAnsi="Times New Roman" w:eastAsia="宋体" w:cs="Times New Roman"/>
      <w:szCs w:val="24"/>
    </w:rPr>
  </w:style>
  <w:style w:type="character" w:customStyle="1" w:styleId="16">
    <w:name w:val="批注主题 字符"/>
    <w:basedOn w:val="15"/>
    <w:link w:val="7"/>
    <w:qFormat/>
    <w:uiPriority w:val="99"/>
    <w:rPr>
      <w:rFonts w:ascii="Times New Roman" w:hAnsi="Times New Roman" w:eastAsia="宋体" w:cs="Times New Roman"/>
      <w:b/>
      <w:bCs/>
      <w:szCs w:val="24"/>
    </w:rPr>
  </w:style>
  <w:style w:type="character" w:customStyle="1" w:styleId="17">
    <w:name w:val="批注框文本 字符"/>
    <w:basedOn w:val="9"/>
    <w:link w:val="4"/>
    <w:qFormat/>
    <w:uiPriority w:val="99"/>
    <w:rPr>
      <w:rFonts w:ascii="Times New Roman" w:hAnsi="Times New Roman" w:eastAsia="宋体" w:cs="Times New Roman"/>
      <w:sz w:val="18"/>
      <w:szCs w:val="18"/>
    </w:rPr>
  </w:style>
  <w:style w:type="paragraph" w:customStyle="1" w:styleId="18">
    <w:name w:val="修订1"/>
    <w:qFormat/>
    <w:uiPriority w:val="99"/>
    <w:rPr>
      <w:rFonts w:ascii="Times New Roman" w:hAnsi="Times New Roman" w:eastAsia="宋体" w:cs="Times New Roman"/>
      <w:kern w:val="2"/>
      <w:sz w:val="21"/>
      <w:szCs w:val="24"/>
      <w:lang w:val="en-US" w:eastAsia="zh-CN" w:bidi="ar-SA"/>
    </w:rPr>
  </w:style>
  <w:style w:type="paragraph" w:styleId="19">
    <w:name w:val="List Paragraph"/>
    <w:basedOn w:val="1"/>
    <w:qFormat/>
    <w:uiPriority w:val="0"/>
    <w:pPr>
      <w:ind w:firstLine="420" w:firstLineChars="200"/>
    </w:pPr>
  </w:style>
  <w:style w:type="paragraph" w:customStyle="1" w:styleId="20">
    <w:name w:val="修订2"/>
    <w:qFormat/>
    <w:uiPriority w:val="99"/>
    <w:rPr>
      <w:rFonts w:ascii="Times New Roman" w:hAnsi="Times New Roman" w:eastAsia="宋体" w:cs="Times New Roman"/>
      <w:kern w:val="2"/>
      <w:sz w:val="21"/>
      <w:szCs w:val="24"/>
      <w:lang w:val="en-US" w:eastAsia="zh-CN" w:bidi="ar-SA"/>
    </w:rPr>
  </w:style>
  <w:style w:type="paragraph" w:customStyle="1" w:styleId="21">
    <w:name w:val="修订3"/>
    <w:qFormat/>
    <w:uiPriority w:val="99"/>
    <w:rPr>
      <w:rFonts w:ascii="Times New Roman" w:hAnsi="Times New Roman" w:eastAsia="宋体" w:cs="Times New Roman"/>
      <w:kern w:val="2"/>
      <w:sz w:val="21"/>
      <w:szCs w:val="24"/>
      <w:lang w:val="en-US" w:eastAsia="zh-CN" w:bidi="ar-SA"/>
    </w:rPr>
  </w:style>
  <w:style w:type="paragraph" w:customStyle="1" w:styleId="22">
    <w:name w:val="修订4"/>
    <w:qFormat/>
    <w:uiPriority w:val="99"/>
    <w:rPr>
      <w:rFonts w:ascii="Times New Roman" w:hAnsi="Times New Roman" w:eastAsia="宋体" w:cs="Times New Roman"/>
      <w:kern w:val="2"/>
      <w:sz w:val="21"/>
      <w:szCs w:val="24"/>
      <w:lang w:val="en-US" w:eastAsia="zh-CN" w:bidi="ar-SA"/>
    </w:rPr>
  </w:style>
  <w:style w:type="paragraph" w:customStyle="1" w:styleId="23">
    <w:name w:val="修订5"/>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930</Words>
  <Characters>1010</Characters>
  <Paragraphs>74</Paragraphs>
  <TotalTime>7</TotalTime>
  <ScaleCrop>false</ScaleCrop>
  <LinksUpToDate>false</LinksUpToDate>
  <CharactersWithSpaces>1085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2023-12-05T09:44:00Z</dcterms:created>
  <dc:creator>周钡钡</dc:creator>
  <cp:lastModifiedBy>zhengquanbu</cp:lastModifiedBy>
  <dcterms:modified xsi:type="dcterms:W3CDTF">2025-10-14T00:28:10Z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8AF88E5AD95A418C9DE23BC7A49A408C_13</vt:lpwstr>
  </property>
  <property fmtid="{D5CDD505-2E9C-101B-9397-08002B2CF9AE}" pid="4" name="KSOTemplateDocerSaveRecord">
    <vt:lpwstr>eyJoZGlkIjoiMDZmN2VlOWFiNmJkMWVlMjkzNDU0NzNlMDRlYWVjNjIiLCJ1c2VySWQiOiIxMzg4MzUyNjAyIn0=</vt:lpwstr>
  </property>
</Properties>
</file>