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10</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1"/>
          <w:szCs w:val="21"/>
        </w:rPr>
        <w:t xml:space="preserve">股票名称：智洋创新 </w:t>
      </w:r>
      <w:r>
        <w:rPr>
          <w:rFonts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t>股票代码：</w:t>
      </w:r>
      <w:r>
        <w:rPr>
          <w:rFonts w:ascii="Times New Roman" w:hAnsi="Times New Roman" w:eastAsia="宋体" w:cs="Times New Roman"/>
          <w:color w:val="000000"/>
          <w:kern w:val="0"/>
          <w:sz w:val="21"/>
          <w:szCs w:val="21"/>
        </w:rPr>
        <w:t xml:space="preserve">688191   </w:t>
      </w:r>
      <w:r>
        <w:rPr>
          <w:rFonts w:ascii="Times New Roman" w:hAnsi="Times New Roman" w:eastAsia="宋体" w:cs="Times New Roman"/>
          <w:color w:val="000000"/>
          <w:kern w:val="0"/>
          <w:sz w:val="22"/>
        </w:rPr>
        <w:t xml:space="preserve">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756" w:type="dxa"/>
            <w:vAlign w:val="center"/>
          </w:tcPr>
          <w:p w14:paraId="73A52ABC">
            <w:pPr>
              <w:widowControl/>
              <w:jc w:val="center"/>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1"/>
                <w:szCs w:val="21"/>
              </w:rPr>
            </w:pPr>
            <w:r>
              <w:rPr>
                <w:rFonts w:hint="eastAsia" w:ascii="宋体" w:hAnsi="宋体" w:eastAsia="宋体" w:cs="宋体"/>
                <w:kern w:val="0"/>
                <w:sz w:val="21"/>
                <w:szCs w:val="21"/>
              </w:rPr>
              <w:t>参与单位名称及人员姓名</w:t>
            </w:r>
          </w:p>
        </w:tc>
        <w:tc>
          <w:tcPr>
            <w:tcW w:w="5800" w:type="dxa"/>
            <w:vAlign w:val="center"/>
          </w:tcPr>
          <w:p w14:paraId="55D85012">
            <w:pPr>
              <w:pStyle w:val="3"/>
              <w:numPr>
                <w:ilvl w:val="0"/>
                <w:numId w:val="1"/>
              </w:numPr>
              <w:ind w:left="0" w:leftChars="0" w:firstLine="0" w:firstLineChars="0"/>
              <w:rPr>
                <w:rFonts w:hint="eastAsia"/>
                <w:szCs w:val="21"/>
                <w:lang w:val="en-US" w:eastAsia="zh-CN"/>
              </w:rPr>
            </w:pPr>
            <w:r>
              <w:rPr>
                <w:rFonts w:hint="eastAsia"/>
                <w:szCs w:val="21"/>
                <w:lang w:val="en-US" w:eastAsia="zh-CN"/>
              </w:rPr>
              <w:t>国联民生：丁辰晖、杨灵修</w:t>
            </w:r>
          </w:p>
          <w:p w14:paraId="2529F282">
            <w:pPr>
              <w:pStyle w:val="3"/>
              <w:numPr>
                <w:ilvl w:val="0"/>
                <w:numId w:val="1"/>
              </w:numPr>
              <w:ind w:left="0" w:leftChars="0" w:firstLine="0" w:firstLineChars="0"/>
              <w:rPr>
                <w:rFonts w:hint="default"/>
                <w:szCs w:val="21"/>
                <w:lang w:val="en-US" w:eastAsia="zh-CN"/>
              </w:rPr>
            </w:pPr>
            <w:r>
              <w:rPr>
                <w:rFonts w:hint="eastAsia"/>
                <w:szCs w:val="21"/>
                <w:lang w:val="en-US" w:eastAsia="zh-CN"/>
              </w:rPr>
              <w:t>玖鹏资产：徐少丹</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1"/>
                <w:szCs w:val="21"/>
              </w:rPr>
            </w:pPr>
            <w:r>
              <w:rPr>
                <w:rFonts w:hint="eastAsia" w:ascii="宋体" w:hAnsi="宋体" w:eastAsia="宋体" w:cs="宋体"/>
                <w:kern w:val="0"/>
                <w:sz w:val="21"/>
                <w:szCs w:val="21"/>
              </w:rPr>
              <w:t>时间</w:t>
            </w:r>
          </w:p>
        </w:tc>
        <w:tc>
          <w:tcPr>
            <w:tcW w:w="5800" w:type="dxa"/>
            <w:vAlign w:val="center"/>
          </w:tcPr>
          <w:p w14:paraId="74D55E93">
            <w:pPr>
              <w:pStyle w:val="3"/>
              <w:ind w:firstLine="0" w:firstLineChars="0"/>
              <w:rPr>
                <w:rFonts w:hint="default"/>
                <w:szCs w:val="21"/>
                <w:highlight w:val="none"/>
                <w:lang w:val="en-US" w:eastAsia="zh-CN"/>
              </w:rPr>
            </w:pPr>
            <w:r>
              <w:rPr>
                <w:rFonts w:hint="eastAsia"/>
                <w:szCs w:val="21"/>
                <w:highlight w:val="none"/>
                <w:lang w:val="en-US" w:eastAsia="zh-CN"/>
              </w:rPr>
              <w:t>2025年10月14日10:00-11:00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1"/>
                <w:szCs w:val="21"/>
              </w:rPr>
            </w:pPr>
            <w:r>
              <w:rPr>
                <w:rFonts w:hint="eastAsia" w:ascii="宋体" w:hAnsi="宋体" w:eastAsia="宋体" w:cs="宋体"/>
                <w:kern w:val="0"/>
                <w:sz w:val="21"/>
                <w:szCs w:val="21"/>
              </w:rPr>
              <w:t>地点</w:t>
            </w:r>
          </w:p>
        </w:tc>
        <w:tc>
          <w:tcPr>
            <w:tcW w:w="5800" w:type="dxa"/>
            <w:vAlign w:val="center"/>
          </w:tcPr>
          <w:p w14:paraId="7C1F215F">
            <w:pPr>
              <w:widowControl/>
              <w:jc w:val="both"/>
              <w:rPr>
                <w:rFonts w:hint="default" w:ascii="宋体" w:hAnsi="宋体" w:eastAsia="宋体" w:cs="宋体"/>
                <w:kern w:val="0"/>
                <w:sz w:val="21"/>
                <w:szCs w:val="21"/>
                <w:highlight w:val="none"/>
                <w:lang w:val="en-US" w:eastAsia="zh-CN"/>
              </w:rPr>
            </w:pPr>
            <w:r>
              <w:rPr>
                <w:rFonts w:hint="eastAsia" w:ascii="宋体" w:hAnsi="宋体" w:eastAsia="宋体" w:cs="宋体"/>
                <w:color w:val="000000"/>
                <w:kern w:val="0"/>
                <w:szCs w:val="21"/>
                <w:highlight w:val="none"/>
                <w:lang w:val="en-US" w:eastAsia="zh-CN"/>
              </w:rPr>
              <w:t>上海浦东香格里拉大酒店</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1"/>
                <w:szCs w:val="21"/>
              </w:rPr>
            </w:pPr>
            <w:r>
              <w:rPr>
                <w:rFonts w:hint="eastAsia" w:ascii="宋体" w:hAnsi="宋体" w:eastAsia="宋体" w:cs="宋体"/>
                <w:kern w:val="0"/>
                <w:sz w:val="21"/>
                <w:szCs w:val="21"/>
              </w:rPr>
              <w:t>公司接待人员姓名</w:t>
            </w:r>
          </w:p>
        </w:tc>
        <w:tc>
          <w:tcPr>
            <w:tcW w:w="5800" w:type="dxa"/>
            <w:vAlign w:val="center"/>
          </w:tcPr>
          <w:p w14:paraId="2B4BC3BA">
            <w:pPr>
              <w:widowControl/>
              <w:ind w:firstLineChars="0"/>
              <w:rPr>
                <w:rFonts w:hint="default"/>
                <w:szCs w:val="21"/>
                <w:lang w:val="en-US" w:eastAsia="zh-CN"/>
              </w:rPr>
            </w:pPr>
            <w:r>
              <w:rPr>
                <w:rFonts w:hint="eastAsia"/>
                <w:szCs w:val="21"/>
                <w:lang w:val="en-US" w:eastAsia="zh-CN"/>
              </w:rPr>
              <w:t>董事会秘书：谢嘉乐</w:t>
            </w: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hint="eastAsia" w:asciiTheme="minorHAnsi" w:hAnsiTheme="minorHAnsi" w:eastAsiaTheme="minorEastAsia" w:cstheme="minorBidi"/>
                <w:b w:val="0"/>
                <w:bCs w:val="0"/>
                <w:kern w:val="2"/>
                <w:sz w:val="21"/>
                <w:szCs w:val="21"/>
              </w:rPr>
            </w:pPr>
            <w:r>
              <w:rPr>
                <w:rFonts w:hint="eastAsia" w:asciiTheme="minorHAnsi" w:hAnsiTheme="minorHAnsi" w:eastAsiaTheme="minorEastAsia" w:cstheme="minorBidi"/>
                <w:kern w:val="2"/>
                <w:sz w:val="21"/>
                <w:szCs w:val="21"/>
              </w:rPr>
              <w:t>投资者关系活动主要内容介绍</w:t>
            </w:r>
            <w:bookmarkStart w:id="0" w:name="_GoBack"/>
            <w:bookmarkEnd w:id="0"/>
          </w:p>
        </w:tc>
        <w:tc>
          <w:tcPr>
            <w:tcW w:w="5800" w:type="dxa"/>
            <w:vAlign w:val="top"/>
          </w:tcPr>
          <w:p w14:paraId="4C78C6F0">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b w:val="0"/>
                <w:bCs w:val="0"/>
                <w:szCs w:val="21"/>
                <w:lang w:val="en-US" w:eastAsia="zh-CN"/>
              </w:rPr>
              <w:t>1、公司在具身智能相关产品的布局及进展？</w:t>
            </w:r>
          </w:p>
          <w:p w14:paraId="66D8D680">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val="en-US" w:eastAsia="zh-CN"/>
              </w:rPr>
            </w:pPr>
            <w:r>
              <w:rPr>
                <w:rFonts w:hint="eastAsia"/>
                <w:szCs w:val="21"/>
                <w:lang w:val="en-US" w:eastAsia="zh-CN"/>
              </w:rPr>
              <w:t>公司已建立起</w:t>
            </w:r>
            <w:r>
              <w:rPr>
                <w:rFonts w:hint="eastAsia"/>
                <w:szCs w:val="21"/>
              </w:rPr>
              <w:t>一站式AI平台、大数据及数字孪生平台、智洋工业大模型技术平台、AI智能体（AI Agent）技术平台、AI终端技术平台、具身智能无人机技术平台六大基础技术平台</w:t>
            </w:r>
            <w:r>
              <w:rPr>
                <w:rFonts w:hint="eastAsia"/>
                <w:szCs w:val="21"/>
                <w:lang w:eastAsia="zh-CN"/>
              </w:rPr>
              <w:t>，</w:t>
            </w:r>
            <w:r>
              <w:rPr>
                <w:rFonts w:hint="eastAsia"/>
                <w:szCs w:val="21"/>
                <w:lang w:val="en-US" w:eastAsia="zh-CN"/>
              </w:rPr>
              <w:t>并</w:t>
            </w:r>
            <w:r>
              <w:rPr>
                <w:rFonts w:hint="eastAsia"/>
                <w:szCs w:val="21"/>
              </w:rPr>
              <w:t>通过算法、软件及硬件的协同设计模式，实现了物联网连接、多模态数据感知、数字孪生交互、智能分析决策和各行业场景应用</w:t>
            </w:r>
            <w:r>
              <w:rPr>
                <w:rFonts w:hint="eastAsia"/>
                <w:szCs w:val="21"/>
                <w:lang w:eastAsia="zh-CN"/>
              </w:rPr>
              <w:t>。</w:t>
            </w:r>
            <w:r>
              <w:rPr>
                <w:rFonts w:hint="eastAsia"/>
                <w:szCs w:val="21"/>
                <w:lang w:val="en-US" w:eastAsia="zh-CN"/>
              </w:rPr>
              <w:t>其中具身智能相关的产品有以下几个方向。</w:t>
            </w:r>
          </w:p>
          <w:p w14:paraId="74029569">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szCs w:val="21"/>
                <w:lang w:eastAsia="zh-CN"/>
              </w:rPr>
              <w:t>（</w:t>
            </w:r>
            <w:r>
              <w:rPr>
                <w:rFonts w:hint="eastAsia"/>
                <w:szCs w:val="21"/>
                <w:lang w:val="en-US" w:eastAsia="zh-CN"/>
              </w:rPr>
              <w:t>1）</w:t>
            </w:r>
            <w:r>
              <w:rPr>
                <w:rFonts w:hint="eastAsia"/>
                <w:szCs w:val="21"/>
              </w:rPr>
              <w:t>具身智能无人机技术平台</w:t>
            </w:r>
          </w:p>
          <w:p w14:paraId="5F5C76E6">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val="en-US" w:eastAsia="zh-CN"/>
              </w:rPr>
            </w:pPr>
            <w:r>
              <w:rPr>
                <w:rFonts w:hint="eastAsia"/>
                <w:szCs w:val="21"/>
                <w:lang w:val="en-US" w:eastAsia="zh-CN"/>
              </w:rPr>
              <w:t>通</w:t>
            </w:r>
            <w:r>
              <w:rPr>
                <w:rFonts w:hint="eastAsia"/>
                <w:szCs w:val="21"/>
              </w:rPr>
              <w:t>过具身智能框架与多模态感知、动态路径规划、实时行为优化技术融合，构建“感知-决策-行动”闭环巡检系统。系统由有限空间/室外无人机、机场及管控平台组成，搭载视觉-激光雷达融合SLAM技术与“电语”工业大模型决策引擎，提出“具身大脑+运控小脑”的技术架构，实现复杂场景高精度建模、环境语义理解及动态任务执行，具备自适应地形跟随、多机协同检测、非结构化场景动态决策能力，能显著提升缺陷识别率与应急响应效率，支持数字孪生仿真训练与策略迭代。</w:t>
            </w:r>
          </w:p>
          <w:p w14:paraId="3BD1666B">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szCs w:val="21"/>
              </w:rPr>
              <w:t>2025年9月18日，公司</w:t>
            </w:r>
            <w:r>
              <w:rPr>
                <w:rFonts w:hint="eastAsia"/>
                <w:szCs w:val="21"/>
                <w:lang w:val="en-US" w:eastAsia="zh-CN"/>
              </w:rPr>
              <w:t>在</w:t>
            </w:r>
            <w:r>
              <w:rPr>
                <w:rFonts w:hint="eastAsia"/>
                <w:szCs w:val="21"/>
              </w:rPr>
              <w:t>华为全联接大会现场推出全新的“智洋星隼”系列产品-卫星拒止空间具身智能无人机。 公司瞄准卫星信号缺少的复杂工业场景，针对狭窄空间人工巡检难度大、效率低、风险高等痛点，提供具身智能无人机立体巡检系统一站式解决方案。卫星拒止具身智能无人机通过搭载多模态信号融合定位与全向感知避障技术，实现高清抵近成像与超清稳拍，显著提升工业场景巡检效率、保障人员作业安全、优化全流程作业模式，助力管理水平提质升级。</w:t>
            </w:r>
          </w:p>
          <w:p w14:paraId="1636EA42">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szCs w:val="21"/>
                <w:lang w:eastAsia="zh-CN"/>
              </w:rPr>
              <w:t>（</w:t>
            </w:r>
            <w:r>
              <w:rPr>
                <w:rFonts w:hint="eastAsia"/>
                <w:szCs w:val="21"/>
                <w:lang w:val="en-US" w:eastAsia="zh-CN"/>
              </w:rPr>
              <w:t>2）</w:t>
            </w:r>
            <w:r>
              <w:rPr>
                <w:rFonts w:hint="eastAsia"/>
                <w:szCs w:val="21"/>
              </w:rPr>
              <w:t>AI智能体（AI Agent）技术平台</w:t>
            </w:r>
          </w:p>
          <w:p w14:paraId="02EF7869">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szCs w:val="21"/>
              </w:rPr>
              <w:t>基于“电语”工业大模型与具身智能架构，构建知识推理引擎与动态规划系统。通过“多模态感知-认知推理-协同决策”闭环，解决复杂场景下的全局认知决策问题，可应用于电力、水利、轨道交通等场景，推动工业运维向自主认知进化，兼具低延迟响应与跨模态推理的行业创新优势。</w:t>
            </w:r>
          </w:p>
          <w:p w14:paraId="445AC7C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val="en-US" w:eastAsia="zh-CN"/>
              </w:rPr>
            </w:pPr>
            <w:r>
              <w:rPr>
                <w:rFonts w:hint="eastAsia"/>
                <w:szCs w:val="21"/>
                <w:lang w:val="en-US" w:eastAsia="zh-CN"/>
              </w:rPr>
              <w:t>未来，公司将以具身智能为技术底座，以行业应用为落地基础，持续加强在具身智能相关领域的探索及应用。</w:t>
            </w:r>
          </w:p>
          <w:p w14:paraId="5990AEB8">
            <w:pPr>
              <w:pStyle w:val="3"/>
              <w:keepNext w:val="0"/>
              <w:keepLines w:val="0"/>
              <w:pageBreakBefore w:val="0"/>
              <w:widowControl w:val="0"/>
              <w:numPr>
                <w:ilvl w:val="0"/>
                <w:numId w:val="2"/>
              </w:numPr>
              <w:kinsoku/>
              <w:wordWrap/>
              <w:overflowPunct/>
              <w:topLinePunct w:val="0"/>
              <w:autoSpaceDN/>
              <w:bidi w:val="0"/>
              <w:ind w:firstLine="420" w:firstLineChars="200"/>
              <w:jc w:val="left"/>
              <w:textAlignment w:val="auto"/>
              <w:rPr>
                <w:rFonts w:hint="eastAsia"/>
                <w:szCs w:val="21"/>
                <w:lang w:val="en-US" w:eastAsia="zh-CN"/>
              </w:rPr>
            </w:pPr>
            <w:r>
              <w:rPr>
                <w:rFonts w:hint="eastAsia"/>
                <w:szCs w:val="21"/>
                <w:lang w:val="en-US" w:eastAsia="zh-CN"/>
              </w:rPr>
              <w:t>公司具身智能无人机产品主要应用于哪些业务场景？</w:t>
            </w:r>
          </w:p>
          <w:p w14:paraId="567056A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val="en-US" w:eastAsia="zh-CN"/>
              </w:rPr>
            </w:pPr>
            <w:r>
              <w:rPr>
                <w:rFonts w:hint="eastAsia"/>
                <w:szCs w:val="21"/>
                <w:lang w:val="en-US" w:eastAsia="zh-CN"/>
              </w:rPr>
              <w:t>公司的具身智能无人机产品分为室外具身智能无人机产品和</w:t>
            </w:r>
            <w:r>
              <w:rPr>
                <w:rFonts w:hint="eastAsia"/>
                <w:szCs w:val="21"/>
              </w:rPr>
              <w:t>卫星拒止空间具身智能无人机</w:t>
            </w:r>
            <w:r>
              <w:rPr>
                <w:rFonts w:hint="eastAsia"/>
                <w:szCs w:val="21"/>
                <w:lang w:val="en-US" w:eastAsia="zh-CN"/>
              </w:rPr>
              <w:t>产品。</w:t>
            </w:r>
          </w:p>
          <w:p w14:paraId="7607599B">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szCs w:val="21"/>
                <w:lang w:val="en-US" w:eastAsia="zh-CN"/>
              </w:rPr>
              <w:t>其中，室</w:t>
            </w:r>
            <w:r>
              <w:rPr>
                <w:rFonts w:hint="eastAsia"/>
                <w:szCs w:val="21"/>
              </w:rPr>
              <w:t>外具身智能无人机产品</w:t>
            </w:r>
            <w:r>
              <w:rPr>
                <w:rFonts w:hint="eastAsia"/>
                <w:szCs w:val="21"/>
                <w:lang w:val="en-US" w:eastAsia="zh-CN"/>
              </w:rPr>
              <w:t>已在水利工程巡检、河湖巡查监管、水库运行管理等多个业务场景进行了落地应用；</w:t>
            </w:r>
            <w:r>
              <w:rPr>
                <w:rFonts w:hint="eastAsia"/>
                <w:szCs w:val="21"/>
              </w:rPr>
              <w:t>卫星拒止空间</w:t>
            </w:r>
            <w:r>
              <w:rPr>
                <w:rFonts w:hint="eastAsia"/>
                <w:szCs w:val="21"/>
                <w:lang w:val="en-US" w:eastAsia="zh-CN"/>
              </w:rPr>
              <w:t>具</w:t>
            </w:r>
            <w:r>
              <w:rPr>
                <w:rFonts w:hint="eastAsia"/>
                <w:szCs w:val="21"/>
              </w:rPr>
              <w:t>身智能无人机产品可应用于桥梁、隧道管廊、供电站房、地下矿洞、地下管线涵洞、大型船体、大型筒仓等卫星拒止空间或特种场景的巡检或测绘作业。目前，公司已逐步在部分业务场景进行试点应用。</w:t>
            </w:r>
          </w:p>
          <w:p w14:paraId="2A140BB2">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b w:val="0"/>
                <w:bCs w:val="0"/>
                <w:szCs w:val="21"/>
                <w:lang w:val="en-US" w:eastAsia="zh-CN"/>
              </w:rPr>
              <w:t>3、公司深圳子公司智洋灵动的定位</w:t>
            </w:r>
            <w:r>
              <w:rPr>
                <w:rFonts w:hint="eastAsia" w:eastAsiaTheme="minorEastAsia"/>
                <w:b w:val="0"/>
                <w:bCs w:val="0"/>
                <w:szCs w:val="21"/>
                <w:lang w:val="en-US" w:eastAsia="zh-CN"/>
              </w:rPr>
              <w:t>？</w:t>
            </w:r>
          </w:p>
          <w:p w14:paraId="69C2865F">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szCs w:val="21"/>
              </w:rPr>
              <w:t>公司设立子公司深圳市智洋灵动科技有限公司，主要是围绕公司“人工智能+行业”的发展战略，为进一步补强公司人工智能产品体系，加速公司技术创新及业务版图拓展。本次设立子公司依托珠三角地区优质产业资源及科研力量，推动具身智能技术创新与产品迭代升级，深化无人机及其他智能终端产品的研发和市场布局，不断增强公司核心竞争力。同时，依托智洋灵动，公司将设立深圳研发中心，完善公司多地协同研发体系及跨区域技术联动机制。</w:t>
            </w:r>
          </w:p>
          <w:p w14:paraId="518EF640">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color w:val="000000" w:themeColor="text1"/>
                <w14:textFill>
                  <w14:solidFill>
                    <w14:schemeClr w14:val="tx1"/>
                  </w14:solidFill>
                </w14:textFill>
              </w:rPr>
            </w:pPr>
            <w:r>
              <w:rPr>
                <w:rFonts w:hint="eastAsia"/>
                <w:szCs w:val="21"/>
              </w:rPr>
              <w:t>公司将围绕全球智能技术发展趋势开展深入探索，持续加强具身智能系统、机器人感知与决策、无人机飞行控制与智能化等核心技术的自主研发能力。</w:t>
            </w: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hint="eastAsia"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附件清单（如有）</w:t>
            </w:r>
          </w:p>
        </w:tc>
        <w:tc>
          <w:tcPr>
            <w:tcW w:w="5800" w:type="dxa"/>
            <w:vAlign w:val="center"/>
          </w:tcPr>
          <w:p w14:paraId="73E9FEB2">
            <w:pPr>
              <w:widowControl/>
              <w:jc w:val="left"/>
              <w:rPr>
                <w:rFonts w:hint="eastAsia"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无</w:t>
            </w:r>
          </w:p>
        </w:tc>
      </w:tr>
    </w:tbl>
    <w:p w14:paraId="16B8FCAD">
      <w:pPr>
        <w:rPr>
          <w:rFonts w:hint="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A891E"/>
    <w:multiLevelType w:val="singleLevel"/>
    <w:tmpl w:val="E32A891E"/>
    <w:lvl w:ilvl="0" w:tentative="0">
      <w:start w:val="1"/>
      <w:numFmt w:val="decimal"/>
      <w:suff w:val="nothing"/>
      <w:lvlText w:val="%1、"/>
      <w:lvlJc w:val="left"/>
    </w:lvl>
  </w:abstractNum>
  <w:abstractNum w:abstractNumId="1">
    <w:nsid w:val="179B6DEB"/>
    <w:multiLevelType w:val="singleLevel"/>
    <w:tmpl w:val="179B6DE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mJhNWUwZDM5YjMzNmE5OTJjMTljYWEyYTUyZGQifQ=="/>
  </w:docVars>
  <w:rsids>
    <w:rsidRoot w:val="00172A27"/>
    <w:rsid w:val="00437DB0"/>
    <w:rsid w:val="007963DE"/>
    <w:rsid w:val="009F2CF0"/>
    <w:rsid w:val="00C20653"/>
    <w:rsid w:val="010A1B1D"/>
    <w:rsid w:val="013F35C7"/>
    <w:rsid w:val="016F222E"/>
    <w:rsid w:val="021D3B2B"/>
    <w:rsid w:val="02210598"/>
    <w:rsid w:val="02227CFD"/>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9A4863"/>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245D47"/>
    <w:rsid w:val="0B585547"/>
    <w:rsid w:val="0B64383C"/>
    <w:rsid w:val="0BB3573E"/>
    <w:rsid w:val="0BD62C31"/>
    <w:rsid w:val="0C1C5DD6"/>
    <w:rsid w:val="0CDC5604"/>
    <w:rsid w:val="0D016360"/>
    <w:rsid w:val="0D3A4AF8"/>
    <w:rsid w:val="0DD341C2"/>
    <w:rsid w:val="0DDA0D2C"/>
    <w:rsid w:val="0E2C57A1"/>
    <w:rsid w:val="0E636C57"/>
    <w:rsid w:val="0EC87A33"/>
    <w:rsid w:val="0ED924BE"/>
    <w:rsid w:val="0ED96309"/>
    <w:rsid w:val="0EE91861"/>
    <w:rsid w:val="0EEE3020"/>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5E6F4B"/>
    <w:rsid w:val="12C05415"/>
    <w:rsid w:val="13032866"/>
    <w:rsid w:val="131A369D"/>
    <w:rsid w:val="136705BC"/>
    <w:rsid w:val="141166AC"/>
    <w:rsid w:val="14211F49"/>
    <w:rsid w:val="15160683"/>
    <w:rsid w:val="15417794"/>
    <w:rsid w:val="156144BC"/>
    <w:rsid w:val="15B87F2D"/>
    <w:rsid w:val="16137463"/>
    <w:rsid w:val="1642631D"/>
    <w:rsid w:val="16612B9C"/>
    <w:rsid w:val="169F72CB"/>
    <w:rsid w:val="16A971B0"/>
    <w:rsid w:val="16BE1E47"/>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4735E1"/>
    <w:rsid w:val="1CAD5C4C"/>
    <w:rsid w:val="1CD04682"/>
    <w:rsid w:val="1D010737"/>
    <w:rsid w:val="1D032DBE"/>
    <w:rsid w:val="1D336832"/>
    <w:rsid w:val="1D342C3A"/>
    <w:rsid w:val="1DF97785"/>
    <w:rsid w:val="1E2612FC"/>
    <w:rsid w:val="1E276378"/>
    <w:rsid w:val="1EF315BA"/>
    <w:rsid w:val="1F54082A"/>
    <w:rsid w:val="1F69641E"/>
    <w:rsid w:val="1F713148"/>
    <w:rsid w:val="1F832B7A"/>
    <w:rsid w:val="1FB57B5F"/>
    <w:rsid w:val="1FBF5D12"/>
    <w:rsid w:val="2020430B"/>
    <w:rsid w:val="209452FD"/>
    <w:rsid w:val="21260517"/>
    <w:rsid w:val="2165773C"/>
    <w:rsid w:val="21AA4163"/>
    <w:rsid w:val="21D56297"/>
    <w:rsid w:val="22057693"/>
    <w:rsid w:val="220B45FB"/>
    <w:rsid w:val="223360A0"/>
    <w:rsid w:val="22907E14"/>
    <w:rsid w:val="22C504CA"/>
    <w:rsid w:val="230A7776"/>
    <w:rsid w:val="231064A5"/>
    <w:rsid w:val="233E7BBA"/>
    <w:rsid w:val="236834E4"/>
    <w:rsid w:val="239724A4"/>
    <w:rsid w:val="2436696D"/>
    <w:rsid w:val="24486182"/>
    <w:rsid w:val="247A5BD6"/>
    <w:rsid w:val="24922D9A"/>
    <w:rsid w:val="24AA16AC"/>
    <w:rsid w:val="255013C8"/>
    <w:rsid w:val="255A6D2C"/>
    <w:rsid w:val="25BA1229"/>
    <w:rsid w:val="27215DF4"/>
    <w:rsid w:val="27397488"/>
    <w:rsid w:val="27760BB9"/>
    <w:rsid w:val="27855555"/>
    <w:rsid w:val="27A2751F"/>
    <w:rsid w:val="27EB31D8"/>
    <w:rsid w:val="28154152"/>
    <w:rsid w:val="281976B6"/>
    <w:rsid w:val="282473C7"/>
    <w:rsid w:val="28C01545"/>
    <w:rsid w:val="28CE09B0"/>
    <w:rsid w:val="293A22CE"/>
    <w:rsid w:val="29477D41"/>
    <w:rsid w:val="297B7E8B"/>
    <w:rsid w:val="299020A1"/>
    <w:rsid w:val="2A032341"/>
    <w:rsid w:val="2A0E5B0E"/>
    <w:rsid w:val="2A4B1DB7"/>
    <w:rsid w:val="2ABD7C20"/>
    <w:rsid w:val="2AC5217D"/>
    <w:rsid w:val="2ADA3454"/>
    <w:rsid w:val="2B6A4497"/>
    <w:rsid w:val="2BC55B39"/>
    <w:rsid w:val="2CAD6C55"/>
    <w:rsid w:val="2CD077D7"/>
    <w:rsid w:val="2CEA61F8"/>
    <w:rsid w:val="2D8F7C42"/>
    <w:rsid w:val="2D951AFB"/>
    <w:rsid w:val="2E6B3F2B"/>
    <w:rsid w:val="2EAA05C9"/>
    <w:rsid w:val="2EC6530B"/>
    <w:rsid w:val="2F6A2554"/>
    <w:rsid w:val="30E12562"/>
    <w:rsid w:val="3115795B"/>
    <w:rsid w:val="311C1AD3"/>
    <w:rsid w:val="31456BEB"/>
    <w:rsid w:val="31605B7D"/>
    <w:rsid w:val="31612DB1"/>
    <w:rsid w:val="318A49A8"/>
    <w:rsid w:val="31970A44"/>
    <w:rsid w:val="321665E0"/>
    <w:rsid w:val="325B3210"/>
    <w:rsid w:val="329007D9"/>
    <w:rsid w:val="329B1F49"/>
    <w:rsid w:val="32DD7307"/>
    <w:rsid w:val="33147CE6"/>
    <w:rsid w:val="335E09E9"/>
    <w:rsid w:val="33A00548"/>
    <w:rsid w:val="33AC6322"/>
    <w:rsid w:val="3439694D"/>
    <w:rsid w:val="34516EE5"/>
    <w:rsid w:val="345320E1"/>
    <w:rsid w:val="35275116"/>
    <w:rsid w:val="35C239A1"/>
    <w:rsid w:val="35D005E4"/>
    <w:rsid w:val="35D1418C"/>
    <w:rsid w:val="35F37400"/>
    <w:rsid w:val="363D3C0F"/>
    <w:rsid w:val="363E1541"/>
    <w:rsid w:val="36573053"/>
    <w:rsid w:val="36A67FA0"/>
    <w:rsid w:val="36BB34B9"/>
    <w:rsid w:val="37464610"/>
    <w:rsid w:val="3798061D"/>
    <w:rsid w:val="37C27B03"/>
    <w:rsid w:val="387A6C7E"/>
    <w:rsid w:val="38984EB0"/>
    <w:rsid w:val="38A36DF6"/>
    <w:rsid w:val="39052B68"/>
    <w:rsid w:val="392E24CC"/>
    <w:rsid w:val="395D6464"/>
    <w:rsid w:val="397D1296"/>
    <w:rsid w:val="39BB6F27"/>
    <w:rsid w:val="39D31C98"/>
    <w:rsid w:val="3AC4126A"/>
    <w:rsid w:val="3AE643CE"/>
    <w:rsid w:val="3B0F2A3B"/>
    <w:rsid w:val="3B4066D5"/>
    <w:rsid w:val="3B5404EC"/>
    <w:rsid w:val="3B6A6B02"/>
    <w:rsid w:val="3C0042EC"/>
    <w:rsid w:val="3C0F02F1"/>
    <w:rsid w:val="3C44739D"/>
    <w:rsid w:val="3C725E88"/>
    <w:rsid w:val="3C951CEB"/>
    <w:rsid w:val="3CB72D11"/>
    <w:rsid w:val="3D71311A"/>
    <w:rsid w:val="3D896A98"/>
    <w:rsid w:val="3DC87A8D"/>
    <w:rsid w:val="3DFB09DB"/>
    <w:rsid w:val="3E11180D"/>
    <w:rsid w:val="3E8401FC"/>
    <w:rsid w:val="3E940F7D"/>
    <w:rsid w:val="3F0E0AC7"/>
    <w:rsid w:val="3F1026D2"/>
    <w:rsid w:val="3F4756E8"/>
    <w:rsid w:val="3F7F3446"/>
    <w:rsid w:val="3FA93D9F"/>
    <w:rsid w:val="400C5F49"/>
    <w:rsid w:val="401F5C3E"/>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3D0207E"/>
    <w:rsid w:val="43E07A37"/>
    <w:rsid w:val="44331706"/>
    <w:rsid w:val="444B19CF"/>
    <w:rsid w:val="445642ED"/>
    <w:rsid w:val="446F7A2D"/>
    <w:rsid w:val="447A7409"/>
    <w:rsid w:val="447D0FBB"/>
    <w:rsid w:val="44E15CD4"/>
    <w:rsid w:val="45222596"/>
    <w:rsid w:val="452914D7"/>
    <w:rsid w:val="453136A9"/>
    <w:rsid w:val="45827D99"/>
    <w:rsid w:val="463466FB"/>
    <w:rsid w:val="465E3E35"/>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714C6A"/>
    <w:rsid w:val="4E796E1E"/>
    <w:rsid w:val="4F13449C"/>
    <w:rsid w:val="4F297D4A"/>
    <w:rsid w:val="4F804F51"/>
    <w:rsid w:val="4F881896"/>
    <w:rsid w:val="4F8E345D"/>
    <w:rsid w:val="503E4904"/>
    <w:rsid w:val="50692847"/>
    <w:rsid w:val="508F5DD3"/>
    <w:rsid w:val="509C43C4"/>
    <w:rsid w:val="50CD151D"/>
    <w:rsid w:val="50D7421A"/>
    <w:rsid w:val="50D744E9"/>
    <w:rsid w:val="50E161BC"/>
    <w:rsid w:val="512111FB"/>
    <w:rsid w:val="5138209E"/>
    <w:rsid w:val="51542485"/>
    <w:rsid w:val="516F18AB"/>
    <w:rsid w:val="523A1E14"/>
    <w:rsid w:val="529E4657"/>
    <w:rsid w:val="52B753C1"/>
    <w:rsid w:val="52DD2E1E"/>
    <w:rsid w:val="534E704F"/>
    <w:rsid w:val="536454A1"/>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455D65"/>
    <w:rsid w:val="6365113D"/>
    <w:rsid w:val="638B41CB"/>
    <w:rsid w:val="640A42F1"/>
    <w:rsid w:val="642E7568"/>
    <w:rsid w:val="64787261"/>
    <w:rsid w:val="64EC395F"/>
    <w:rsid w:val="64F62857"/>
    <w:rsid w:val="652F0DE7"/>
    <w:rsid w:val="656B002A"/>
    <w:rsid w:val="65B72141"/>
    <w:rsid w:val="65BF1D00"/>
    <w:rsid w:val="66087D37"/>
    <w:rsid w:val="664E6468"/>
    <w:rsid w:val="665D7F78"/>
    <w:rsid w:val="66633782"/>
    <w:rsid w:val="66A148DD"/>
    <w:rsid w:val="66B370FA"/>
    <w:rsid w:val="66C66513"/>
    <w:rsid w:val="66D91FDE"/>
    <w:rsid w:val="66FC0076"/>
    <w:rsid w:val="671A784B"/>
    <w:rsid w:val="679E48C0"/>
    <w:rsid w:val="68314937"/>
    <w:rsid w:val="68382D66"/>
    <w:rsid w:val="684F1CF5"/>
    <w:rsid w:val="68B34299"/>
    <w:rsid w:val="68DA5601"/>
    <w:rsid w:val="68F83862"/>
    <w:rsid w:val="692823E0"/>
    <w:rsid w:val="69370C94"/>
    <w:rsid w:val="69376D7B"/>
    <w:rsid w:val="698353CB"/>
    <w:rsid w:val="69E11460"/>
    <w:rsid w:val="6B131620"/>
    <w:rsid w:val="6B3B7D32"/>
    <w:rsid w:val="6B520BFD"/>
    <w:rsid w:val="6BF41431"/>
    <w:rsid w:val="6C08064C"/>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922E29"/>
    <w:rsid w:val="71AC2D14"/>
    <w:rsid w:val="71EE215A"/>
    <w:rsid w:val="720D65E0"/>
    <w:rsid w:val="72360EE8"/>
    <w:rsid w:val="72646CEB"/>
    <w:rsid w:val="72B90FC4"/>
    <w:rsid w:val="732E26DE"/>
    <w:rsid w:val="73345474"/>
    <w:rsid w:val="7387396F"/>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A72F9"/>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38369E"/>
    <w:rsid w:val="7D60687A"/>
    <w:rsid w:val="7D9D61F5"/>
    <w:rsid w:val="7DB202A1"/>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1469</Words>
  <Characters>1514</Characters>
  <Lines>1</Lines>
  <Paragraphs>1</Paragraphs>
  <TotalTime>9</TotalTime>
  <ScaleCrop>false</ScaleCrop>
  <LinksUpToDate>false</LinksUpToDate>
  <CharactersWithSpaces>1573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Ivin</cp:lastModifiedBy>
  <cp:lastPrinted>2022-09-30T10:29:00Z</cp:lastPrinted>
  <dcterms:modified xsi:type="dcterms:W3CDTF">2025-10-16T09:06:57Z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CFC9B726EFA2433191D5C4A7706986F6_13</vt:lpwstr>
  </property>
  <property fmtid="{D5CDD505-2E9C-101B-9397-08002B2CF9AE}" pid="4" name="KSOTemplateDocerSaveRecord">
    <vt:lpwstr>eyJoZGlkIjoiYTVkN2FiZTA1NjZlMGUxMjcxN2IwMWFhYzQ4NGIxN2YiLCJ1c2VySWQiOiIyNjA2MTQ0NzgifQ==</vt:lpwstr>
  </property>
</Properties>
</file>