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610847" w:rsidRDefault="002D1F8D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610847" w:rsidRDefault="002D1F8D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</w:t>
      </w:r>
      <w:proofErr w:type="gramStart"/>
      <w:r>
        <w:rPr>
          <w:rFonts w:ascii="宋体" w:hAnsi="宋体"/>
          <w:b/>
          <w:bCs/>
          <w:iCs/>
          <w:color w:val="000000"/>
          <w:sz w:val="24"/>
          <w:szCs w:val="24"/>
        </w:rPr>
        <w:t>倍轻松科技</w:t>
      </w:r>
      <w:proofErr w:type="gramEnd"/>
      <w:r>
        <w:rPr>
          <w:rFonts w:ascii="宋体" w:hAnsi="宋体"/>
          <w:b/>
          <w:bCs/>
          <w:iCs/>
          <w:color w:val="000000"/>
          <w:sz w:val="24"/>
          <w:szCs w:val="24"/>
        </w:rPr>
        <w:t>股份有限公司</w:t>
      </w:r>
    </w:p>
    <w:p w14:paraId="5B0B0798" w14:textId="77777777" w:rsidR="00610847" w:rsidRDefault="002D1F8D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610847" w:rsidRDefault="002D1F8D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2025-021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610847" w14:paraId="52C16F76" w14:textId="77777777">
        <w:tc>
          <w:tcPr>
            <w:tcW w:w="1526" w:type="dxa"/>
            <w:vAlign w:val="center"/>
          </w:tcPr>
          <w:p w14:paraId="1CBC6A77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610847" w:rsidRDefault="002D1F8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610847" w:rsidRDefault="002D1F8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610847" w:rsidRDefault="002D1F8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6A2E4D2" w14:textId="77777777" w:rsidR="00610847" w:rsidRDefault="002D1F8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610847" w:rsidRDefault="002D1F8D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610847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610847" w:rsidRDefault="002D1F8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i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浙商证券、创金</w:t>
            </w:r>
            <w:proofErr w:type="gramEnd"/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合信基金、兴业证券</w:t>
            </w:r>
          </w:p>
        </w:tc>
      </w:tr>
      <w:tr w:rsidR="00610847" w14:paraId="45C3D9BE" w14:textId="77777777">
        <w:tc>
          <w:tcPr>
            <w:tcW w:w="1526" w:type="dxa"/>
            <w:vAlign w:val="center"/>
          </w:tcPr>
          <w:p w14:paraId="39205418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7777777" w:rsidR="00610847" w:rsidRDefault="002D1F8D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2025年10月13日、2025年10月16日</w:t>
            </w:r>
          </w:p>
        </w:tc>
      </w:tr>
      <w:tr w:rsidR="00610847" w14:paraId="57B05F83" w14:textId="77777777">
        <w:tc>
          <w:tcPr>
            <w:tcW w:w="1526" w:type="dxa"/>
            <w:vAlign w:val="center"/>
          </w:tcPr>
          <w:p w14:paraId="05851EE0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610847" w:rsidRDefault="002D1F8D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610847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7990421C" w14:textId="77777777" w:rsidR="00610847" w:rsidRDefault="002D1F8D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77777777" w:rsidR="00610847" w:rsidRDefault="002D1F8D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610847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57CE339B" w14:textId="77777777" w:rsidR="00610847" w:rsidRDefault="002D1F8D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1、“轻松一刻”未来的发展方向是仅提供服务吗？公司目前大力发展“轻松一刻”品牌，未来是准备转型为仅提供服务的企业吗？</w:t>
            </w:r>
          </w:p>
          <w:p w14:paraId="3C78ED79" w14:textId="77739EC8" w:rsidR="00610847" w:rsidRDefault="002D1F8D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“轻松一刻”是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倍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轻松为解决传统按摩产品仅聚焦单一售卖模式，传统线下体验店多以产品展示为主，难以满足用户对即时性、专业性、体验感的复合需求而设，旨在满足用户快速放松需求的健康管理品牌。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未来，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将通过 “轻松一刻” 与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产品销售相匹配，进一步拉动业务增长。公司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通过传统按摩产品销售结合按摩服务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，构建 “科技产品 + 速效按摩” 的新型商业模式，实现业务模式升级。</w:t>
            </w:r>
          </w:p>
          <w:p w14:paraId="5A0908FF" w14:textId="77777777" w:rsidR="00610847" w:rsidRDefault="002D1F8D">
            <w:pPr>
              <w:spacing w:line="360" w:lineRule="auto"/>
              <w:ind w:left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2、公司境外收入占比以及增速如何？</w:t>
            </w:r>
          </w:p>
          <w:p w14:paraId="3163551D" w14:textId="77777777" w:rsidR="00610847" w:rsidRDefault="002D1F8D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2025年上半年，公司实现营业收入合计3.85亿元，其中境外收入合计0.2亿元，占整体营业收入比例为5.16%，同比增长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136.28%。公司在境外线上已构筑起涵盖亚马逊、线上美国沃尔玛、TikTok、</w:t>
            </w:r>
            <w:proofErr w:type="gramStart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速卖通</w:t>
            </w:r>
            <w:proofErr w:type="gramEnd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、亚米、Shopee、Lazada等多个电商平台的完备运营体系；公司在境外线下通过“直营与国代”双模式运营，其业务范围覆盖部分“一带一路”沿线国家。此外，公司精准锚定境外主要业务区域实施本地化运营策略，全方位赋能公司的国际化进程。</w:t>
            </w:r>
          </w:p>
          <w:p w14:paraId="5D1AE050" w14:textId="77777777" w:rsidR="00610847" w:rsidRDefault="002D1F8D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3、</w:t>
            </w:r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当前美国关税政策调整对</w:t>
            </w:r>
            <w:proofErr w:type="gramStart"/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倍</w:t>
            </w:r>
            <w:proofErr w:type="gramEnd"/>
            <w:r>
              <w:rPr>
                <w:rFonts w:ascii="宋体" w:hAnsi="宋体" w:cs="仿宋"/>
                <w:b/>
                <w:bCs/>
                <w:color w:val="2F3032"/>
                <w:sz w:val="24"/>
                <w:szCs w:val="24"/>
                <w:shd w:val="clear" w:color="auto" w:fill="FFFFFF"/>
              </w:rPr>
              <w:t>轻松海外业务是否会产生显著影响？</w:t>
            </w:r>
          </w:p>
          <w:p w14:paraId="3FFBEF97" w14:textId="01F01339" w:rsidR="00610847" w:rsidRDefault="002D1F8D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目前公司海外市场拓展的核心集中在中东、东南亚等增长潜力较高的区域，该部分市场贡献了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公司目前在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海外业务的主要增量，而美国市场在公司整体</w:t>
            </w:r>
            <w:proofErr w:type="gramStart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海外营</w:t>
            </w:r>
            <w:proofErr w:type="gramEnd"/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收中的占比相对较低</w:t>
            </w:r>
            <w:r w:rsidR="008E371C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且其毛利较高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因此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当前美国关税政策对公司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整体海外业务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影响较小。</w:t>
            </w:r>
          </w:p>
          <w:p w14:paraId="726602B6" w14:textId="77777777" w:rsidR="00610847" w:rsidRDefault="00610847">
            <w:pPr>
              <w:numPr>
                <w:ilvl w:val="255"/>
                <w:numId w:val="0"/>
              </w:numPr>
              <w:spacing w:line="360" w:lineRule="auto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</w:p>
        </w:tc>
      </w:tr>
      <w:tr w:rsidR="00610847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610847" w:rsidRDefault="002D1F8D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610847" w:rsidRDefault="00610847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610847" w:rsidRDefault="00610847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610847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C392" w14:textId="77777777" w:rsidR="002D1F8D" w:rsidRDefault="002D1F8D">
      <w:r>
        <w:separator/>
      </w:r>
    </w:p>
  </w:endnote>
  <w:endnote w:type="continuationSeparator" w:id="0">
    <w:p w14:paraId="3E9FCB43" w14:textId="77777777" w:rsidR="002D1F8D" w:rsidRDefault="002D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610847" w:rsidRDefault="002D1F8D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35FB" w14:textId="77777777" w:rsidR="002D1F8D" w:rsidRDefault="002D1F8D">
      <w:r>
        <w:separator/>
      </w:r>
    </w:p>
  </w:footnote>
  <w:footnote w:type="continuationSeparator" w:id="0">
    <w:p w14:paraId="444820BB" w14:textId="77777777" w:rsidR="002D1F8D" w:rsidRDefault="002D1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6815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0A18"/>
    <w:rsid w:val="00033280"/>
    <w:rsid w:val="000339D2"/>
    <w:rsid w:val="00034516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0EB0"/>
    <w:rsid w:val="00141AEC"/>
    <w:rsid w:val="001427A1"/>
    <w:rsid w:val="00146DDC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758AA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6BC6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17E"/>
    <w:rsid w:val="00212EA1"/>
    <w:rsid w:val="00213321"/>
    <w:rsid w:val="00215698"/>
    <w:rsid w:val="002158CC"/>
    <w:rsid w:val="00220FEB"/>
    <w:rsid w:val="00224AA7"/>
    <w:rsid w:val="00224FF3"/>
    <w:rsid w:val="00233061"/>
    <w:rsid w:val="0023684C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0879"/>
    <w:rsid w:val="00291DD0"/>
    <w:rsid w:val="00294C5E"/>
    <w:rsid w:val="00297B94"/>
    <w:rsid w:val="002A29B2"/>
    <w:rsid w:val="002A599E"/>
    <w:rsid w:val="002A707B"/>
    <w:rsid w:val="002A7DC2"/>
    <w:rsid w:val="002B1903"/>
    <w:rsid w:val="002B5C72"/>
    <w:rsid w:val="002C029E"/>
    <w:rsid w:val="002C282E"/>
    <w:rsid w:val="002C6D2F"/>
    <w:rsid w:val="002D1F8D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302C14"/>
    <w:rsid w:val="00302D08"/>
    <w:rsid w:val="00314FD5"/>
    <w:rsid w:val="00315E1C"/>
    <w:rsid w:val="0031799C"/>
    <w:rsid w:val="00322D8A"/>
    <w:rsid w:val="00325C8F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3F49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4E60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2F5C"/>
    <w:rsid w:val="00576B81"/>
    <w:rsid w:val="00576D5C"/>
    <w:rsid w:val="00580F88"/>
    <w:rsid w:val="00593F1F"/>
    <w:rsid w:val="0059553E"/>
    <w:rsid w:val="005A237F"/>
    <w:rsid w:val="005A267D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0847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154BB"/>
    <w:rsid w:val="00816656"/>
    <w:rsid w:val="00820223"/>
    <w:rsid w:val="00825775"/>
    <w:rsid w:val="008361A9"/>
    <w:rsid w:val="008409B9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371C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2E51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C301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310B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326BA"/>
    <w:rsid w:val="00B33532"/>
    <w:rsid w:val="00B34F57"/>
    <w:rsid w:val="00B40122"/>
    <w:rsid w:val="00B419DC"/>
    <w:rsid w:val="00B41E3A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D6BD7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4C4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E4708"/>
    <w:rsid w:val="00EF11F8"/>
    <w:rsid w:val="00EF13AC"/>
    <w:rsid w:val="00EF2697"/>
    <w:rsid w:val="00EF476F"/>
    <w:rsid w:val="00F03B9C"/>
    <w:rsid w:val="00F03FDC"/>
    <w:rsid w:val="00F0509A"/>
    <w:rsid w:val="00F05A00"/>
    <w:rsid w:val="00F05D98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0E5602"/>
    <w:rsid w:val="0D5C636E"/>
    <w:rsid w:val="0F934739"/>
    <w:rsid w:val="100624ED"/>
    <w:rsid w:val="117D4B05"/>
    <w:rsid w:val="16EE4CFB"/>
    <w:rsid w:val="1D2A0347"/>
    <w:rsid w:val="1E06018C"/>
    <w:rsid w:val="210C37AF"/>
    <w:rsid w:val="23312082"/>
    <w:rsid w:val="25A504F9"/>
    <w:rsid w:val="260D5223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084380D"/>
    <w:rsid w:val="4240335C"/>
    <w:rsid w:val="426F53E0"/>
    <w:rsid w:val="438628B9"/>
    <w:rsid w:val="45EA380F"/>
    <w:rsid w:val="45F936BA"/>
    <w:rsid w:val="462A6A47"/>
    <w:rsid w:val="47AC3039"/>
    <w:rsid w:val="48AC2FA6"/>
    <w:rsid w:val="4D822B1B"/>
    <w:rsid w:val="4FB46532"/>
    <w:rsid w:val="50282821"/>
    <w:rsid w:val="50507457"/>
    <w:rsid w:val="51701D94"/>
    <w:rsid w:val="51F2387E"/>
    <w:rsid w:val="53174206"/>
    <w:rsid w:val="545D0A6A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B01FF8"/>
    <w:rsid w:val="6A6F5900"/>
    <w:rsid w:val="6A8F6D47"/>
    <w:rsid w:val="6C8251EB"/>
    <w:rsid w:val="6DE92FAB"/>
    <w:rsid w:val="6EEF390A"/>
    <w:rsid w:val="70AB7EBB"/>
    <w:rsid w:val="70CD641E"/>
    <w:rsid w:val="735F5E84"/>
    <w:rsid w:val="79664F93"/>
    <w:rsid w:val="7B565ACE"/>
    <w:rsid w:val="7CCB213A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25E83"/>
  <w15:docId w15:val="{FB9C728A-9674-42D8-AB1B-CFA49E0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customStyle="1" w:styleId="9">
    <w:name w:val="修订9"/>
    <w:hidden/>
    <w:uiPriority w:val="99"/>
    <w:unhideWhenUsed/>
    <w:qFormat/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rPr>
      <w:kern w:val="2"/>
      <w:sz w:val="21"/>
    </w:rPr>
  </w:style>
  <w:style w:type="paragraph" w:customStyle="1" w:styleId="110">
    <w:name w:val="修订11"/>
    <w:hidden/>
    <w:uiPriority w:val="99"/>
    <w:unhideWhenUsed/>
    <w:rPr>
      <w:kern w:val="2"/>
      <w:sz w:val="21"/>
    </w:rPr>
  </w:style>
  <w:style w:type="paragraph" w:styleId="af4">
    <w:name w:val="Revision"/>
    <w:hidden/>
    <w:uiPriority w:val="99"/>
    <w:unhideWhenUsed/>
    <w:rsid w:val="002D1F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771</Words>
  <Characters>171</Characters>
  <Application>Microsoft Office Word</Application>
  <DocSecurity>0</DocSecurity>
  <Lines>11</Lines>
  <Paragraphs>32</Paragraphs>
  <ScaleCrop>false</ScaleCrop>
  <Company>微软中国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82</cp:revision>
  <cp:lastPrinted>2017-11-28T08:20:00Z</cp:lastPrinted>
  <dcterms:created xsi:type="dcterms:W3CDTF">2025-08-26T05:44:00Z</dcterms:created>
  <dcterms:modified xsi:type="dcterms:W3CDTF">2025-10-17T05:52:00Z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