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749" w14:textId="77777777" w:rsidR="004D1B9E" w:rsidRDefault="006A22C2" w:rsidP="00EC471D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6B18BC72" w14:textId="77777777" w:rsidR="004D1B9E" w:rsidRDefault="006A22C2" w:rsidP="00EC471D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463E81AB" w14:textId="5FA885E5" w:rsidR="004D1B9E" w:rsidRDefault="006A22C2" w:rsidP="00EC471D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C77FCF">
        <w:rPr>
          <w:rFonts w:ascii="宋体" w:hAnsi="宋体"/>
          <w:b/>
          <w:bCs/>
          <w:iCs/>
          <w:sz w:val="32"/>
          <w:szCs w:val="32"/>
        </w:rPr>
        <w:t>10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77FCF">
        <w:rPr>
          <w:rFonts w:ascii="宋体" w:hAnsi="宋体"/>
          <w:b/>
          <w:bCs/>
          <w:iCs/>
          <w:sz w:val="32"/>
          <w:szCs w:val="32"/>
        </w:rPr>
        <w:t>15</w:t>
      </w:r>
      <w:r>
        <w:rPr>
          <w:rFonts w:ascii="宋体" w:hAnsi="宋体"/>
          <w:b/>
          <w:bCs/>
          <w:iCs/>
          <w:sz w:val="32"/>
          <w:szCs w:val="32"/>
        </w:rPr>
        <w:t>日</w:t>
      </w:r>
      <w:r w:rsidR="00C664AD">
        <w:rPr>
          <w:rFonts w:ascii="宋体" w:hAnsi="宋体" w:hint="eastAsia"/>
          <w:b/>
          <w:bCs/>
          <w:iCs/>
          <w:sz w:val="32"/>
          <w:szCs w:val="32"/>
        </w:rPr>
        <w:t>-</w:t>
      </w:r>
      <w:r w:rsidR="00C77FCF">
        <w:rPr>
          <w:rFonts w:ascii="宋体" w:hAnsi="宋体"/>
          <w:b/>
          <w:bCs/>
          <w:iCs/>
          <w:sz w:val="32"/>
          <w:szCs w:val="32"/>
        </w:rPr>
        <w:t>17</w:t>
      </w:r>
      <w:r w:rsidR="00C664AD">
        <w:rPr>
          <w:rFonts w:ascii="宋体" w:hAnsi="宋体"/>
          <w:b/>
          <w:bCs/>
          <w:iCs/>
          <w:sz w:val="32"/>
          <w:szCs w:val="32"/>
        </w:rPr>
        <w:t>日</w:t>
      </w:r>
      <w:r w:rsidR="00EC471D">
        <w:rPr>
          <w:rFonts w:ascii="宋体" w:hAnsi="宋体" w:hint="eastAsia"/>
          <w:b/>
          <w:bCs/>
          <w:iCs/>
          <w:sz w:val="32"/>
          <w:szCs w:val="32"/>
        </w:rPr>
        <w:t>投资者交流会</w:t>
      </w:r>
      <w:r w:rsidR="00BE4F40">
        <w:rPr>
          <w:rFonts w:ascii="宋体" w:hAnsi="宋体"/>
          <w:b/>
          <w:bCs/>
          <w:iCs/>
          <w:sz w:val="32"/>
          <w:szCs w:val="32"/>
        </w:rPr>
        <w:t>会议记录</w:t>
      </w:r>
    </w:p>
    <w:p w14:paraId="7FC29C83" w14:textId="2D20509A" w:rsidR="004D1B9E" w:rsidRDefault="006A22C2" w:rsidP="00EC471D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 w:rsidR="004B5E49">
        <w:rPr>
          <w:rFonts w:ascii="宋体" w:hAnsi="宋体"/>
          <w:sz w:val="24"/>
        </w:rPr>
        <w:t>025</w:t>
      </w:r>
      <w:r>
        <w:rPr>
          <w:rFonts w:ascii="宋体" w:hAnsi="宋体" w:hint="eastAsia"/>
          <w:sz w:val="24"/>
        </w:rPr>
        <w:t>年</w:t>
      </w:r>
      <w:r w:rsidR="00C77FCF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C77FCF">
        <w:rPr>
          <w:rFonts w:ascii="宋体" w:hAnsi="宋体"/>
          <w:sz w:val="24"/>
        </w:rPr>
        <w:t>15</w:t>
      </w:r>
      <w:r>
        <w:rPr>
          <w:rFonts w:ascii="宋体" w:hAnsi="宋体"/>
          <w:sz w:val="24"/>
        </w:rPr>
        <w:t>日</w:t>
      </w:r>
      <w:r w:rsidR="00225A6D">
        <w:rPr>
          <w:rFonts w:ascii="宋体" w:hAnsi="宋体" w:hint="eastAsia"/>
          <w:sz w:val="24"/>
        </w:rPr>
        <w:t>-</w:t>
      </w:r>
      <w:r w:rsidR="00C77FCF">
        <w:rPr>
          <w:rFonts w:ascii="宋体" w:hAnsi="宋体"/>
          <w:sz w:val="24"/>
        </w:rPr>
        <w:t>17</w:t>
      </w:r>
      <w:r w:rsidR="00225A6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6C076469" w14:textId="77777777" w:rsidR="004D1B9E" w:rsidRDefault="006A22C2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0AFB2E87" w14:textId="77777777" w:rsidR="000D62B1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副总裁、董事会秘书兼财务总监：</w:t>
      </w:r>
      <w:proofErr w:type="gramStart"/>
      <w:r>
        <w:rPr>
          <w:rFonts w:hAnsi="宋体" w:hint="eastAsia"/>
          <w:sz w:val="24"/>
        </w:rPr>
        <w:t>钟喜玉女</w:t>
      </w:r>
      <w:proofErr w:type="gramEnd"/>
      <w:r>
        <w:rPr>
          <w:rFonts w:hAnsi="宋体" w:hint="eastAsia"/>
          <w:sz w:val="24"/>
        </w:rPr>
        <w:t>士</w:t>
      </w:r>
    </w:p>
    <w:p w14:paraId="6134ACC2" w14:textId="77777777" w:rsidR="000D62B1" w:rsidRPr="00284F45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战略发展总监：吴浩先生</w:t>
      </w:r>
    </w:p>
    <w:p w14:paraId="0E185DA6" w14:textId="3CD485C3" w:rsidR="000D62B1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投资者关系经理：张乐维先生</w:t>
      </w:r>
    </w:p>
    <w:p w14:paraId="0D6DC3E7" w14:textId="77777777" w:rsidR="00592D9A" w:rsidRDefault="00592D9A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5A29377F" w14:textId="77777777" w:rsidR="004D1B9E" w:rsidRDefault="006A22C2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机构参会：</w:t>
      </w:r>
    </w:p>
    <w:p w14:paraId="58D5B69A" w14:textId="77777777" w:rsidR="00C77FCF" w:rsidRDefault="00C77FCF" w:rsidP="00C77FCF">
      <w:pPr>
        <w:pStyle w:val="a5"/>
        <w:spacing w:line="420" w:lineRule="exact"/>
        <w:ind w:firstLineChars="200" w:firstLine="480"/>
        <w:rPr>
          <w:rFonts w:hAnsi="宋体" w:cs="宋体"/>
          <w:sz w:val="24"/>
        </w:rPr>
      </w:pPr>
      <w:r w:rsidRPr="00F90DCC">
        <w:rPr>
          <w:rFonts w:hAnsi="宋体" w:cs="宋体" w:hint="eastAsia"/>
          <w:sz w:val="24"/>
        </w:rPr>
        <w:t>2</w:t>
      </w:r>
      <w:r w:rsidRPr="00F90DCC">
        <w:rPr>
          <w:rFonts w:hAnsi="宋体" w:cs="宋体"/>
          <w:sz w:val="24"/>
        </w:rPr>
        <w:t>025年10</w:t>
      </w:r>
      <w:r w:rsidRPr="00F90DCC">
        <w:rPr>
          <w:rFonts w:hAnsi="宋体" w:cs="宋体" w:hint="eastAsia"/>
          <w:sz w:val="24"/>
        </w:rPr>
        <w:t>月</w:t>
      </w:r>
      <w:r>
        <w:rPr>
          <w:rFonts w:hAnsi="宋体" w:cs="宋体"/>
          <w:sz w:val="24"/>
        </w:rPr>
        <w:t>15</w:t>
      </w:r>
      <w:r w:rsidRPr="00F90DCC">
        <w:rPr>
          <w:rFonts w:hAnsi="宋体" w:cs="宋体"/>
          <w:sz w:val="24"/>
        </w:rPr>
        <w:t>日</w:t>
      </w:r>
      <w:r w:rsidRPr="00F90DCC">
        <w:rPr>
          <w:rFonts w:hAnsi="宋体" w:cs="宋体" w:hint="eastAsia"/>
          <w:sz w:val="24"/>
        </w:rPr>
        <w:t xml:space="preserve"> 平安资管</w:t>
      </w:r>
      <w:r>
        <w:rPr>
          <w:rFonts w:hAnsi="宋体" w:cs="宋体" w:hint="eastAsia"/>
          <w:sz w:val="24"/>
        </w:rPr>
        <w:t>、</w:t>
      </w:r>
      <w:r w:rsidRPr="00F90DCC">
        <w:rPr>
          <w:rFonts w:hAnsi="宋体" w:cs="宋体" w:hint="eastAsia"/>
          <w:sz w:val="24"/>
        </w:rPr>
        <w:t>洪昌投资</w:t>
      </w:r>
      <w:r>
        <w:rPr>
          <w:rFonts w:hAnsi="宋体" w:cs="宋体" w:hint="eastAsia"/>
          <w:sz w:val="24"/>
        </w:rPr>
        <w:t>、</w:t>
      </w:r>
      <w:proofErr w:type="gramStart"/>
      <w:r w:rsidRPr="00F90DCC">
        <w:rPr>
          <w:rFonts w:hAnsi="宋体" w:cs="宋体" w:hint="eastAsia"/>
          <w:sz w:val="24"/>
        </w:rPr>
        <w:t>创富兆业</w:t>
      </w:r>
      <w:proofErr w:type="gramEnd"/>
      <w:r>
        <w:rPr>
          <w:rFonts w:hAnsi="宋体" w:cs="宋体" w:hint="eastAsia"/>
          <w:sz w:val="24"/>
        </w:rPr>
        <w:t>、华创证券</w:t>
      </w:r>
    </w:p>
    <w:p w14:paraId="32AE03D4" w14:textId="169AC1D1" w:rsidR="00C77FCF" w:rsidRPr="00091447" w:rsidRDefault="00C77FCF" w:rsidP="00C77FCF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 w:rsidRPr="00F90DCC">
        <w:rPr>
          <w:rFonts w:hAnsi="宋体" w:cs="宋体"/>
          <w:sz w:val="24"/>
        </w:rPr>
        <w:t>2025年10</w:t>
      </w:r>
      <w:r w:rsidRPr="00F90DCC">
        <w:rPr>
          <w:rFonts w:hAnsi="宋体" w:cs="宋体" w:hint="eastAsia"/>
          <w:sz w:val="24"/>
        </w:rPr>
        <w:t>月</w:t>
      </w:r>
      <w:r>
        <w:rPr>
          <w:rFonts w:hAnsi="宋体" w:cs="宋体"/>
          <w:sz w:val="24"/>
        </w:rPr>
        <w:t>16</w:t>
      </w:r>
      <w:r w:rsidRPr="00F90DCC">
        <w:rPr>
          <w:rFonts w:hAnsi="宋体" w:cs="宋体"/>
          <w:sz w:val="24"/>
        </w:rPr>
        <w:t>日</w:t>
      </w:r>
      <w:r>
        <w:rPr>
          <w:rFonts w:hAnsi="宋体" w:cs="宋体" w:hint="eastAsia"/>
          <w:sz w:val="24"/>
        </w:rPr>
        <w:t xml:space="preserve"> </w:t>
      </w:r>
      <w:proofErr w:type="gramStart"/>
      <w:r w:rsidRPr="00F90DCC">
        <w:rPr>
          <w:rFonts w:hAnsi="宋体" w:cs="宋体"/>
          <w:sz w:val="24"/>
        </w:rPr>
        <w:t>汇添富</w:t>
      </w:r>
      <w:proofErr w:type="gramEnd"/>
      <w:r>
        <w:rPr>
          <w:rFonts w:hAnsi="宋体" w:cs="宋体" w:hint="eastAsia"/>
          <w:sz w:val="24"/>
        </w:rPr>
        <w:t>、</w:t>
      </w:r>
      <w:r w:rsidRPr="00F90DCC">
        <w:rPr>
          <w:rFonts w:hAnsi="宋体" w:cs="宋体" w:hint="eastAsia"/>
          <w:sz w:val="24"/>
        </w:rPr>
        <w:t>高盛资产管理、</w:t>
      </w:r>
      <w:proofErr w:type="spellStart"/>
      <w:r w:rsidRPr="00F90DCC">
        <w:rPr>
          <w:rFonts w:hAnsi="宋体" w:cs="宋体"/>
          <w:sz w:val="24"/>
        </w:rPr>
        <w:t>Eastspring</w:t>
      </w:r>
      <w:proofErr w:type="spellEnd"/>
      <w:r w:rsidRPr="00F90DCC">
        <w:rPr>
          <w:rFonts w:hAnsi="宋体" w:cs="宋体"/>
          <w:sz w:val="24"/>
        </w:rPr>
        <w:t xml:space="preserve"> investment</w:t>
      </w:r>
      <w:r w:rsidRPr="00F90DCC">
        <w:rPr>
          <w:rFonts w:hAnsi="宋体" w:cs="宋体" w:hint="eastAsia"/>
          <w:sz w:val="24"/>
        </w:rPr>
        <w:t>、C</w:t>
      </w:r>
      <w:r w:rsidRPr="00F90DCC">
        <w:rPr>
          <w:rFonts w:hAnsi="宋体" w:cs="宋体"/>
          <w:sz w:val="24"/>
        </w:rPr>
        <w:t xml:space="preserve">IM investment </w:t>
      </w:r>
      <w:r w:rsidRPr="00F90DCC">
        <w:rPr>
          <w:rFonts w:hAnsi="宋体" w:cs="宋体" w:hint="eastAsia"/>
          <w:sz w:val="24"/>
        </w:rPr>
        <w:t>、</w:t>
      </w:r>
      <w:r w:rsidRPr="00F90DCC">
        <w:rPr>
          <w:rFonts w:hAnsi="宋体" w:cs="宋体"/>
          <w:sz w:val="24"/>
        </w:rPr>
        <w:t>Sumitomo Mitsui DS Asset Management</w:t>
      </w:r>
      <w:r>
        <w:rPr>
          <w:rFonts w:hAnsi="宋体" w:cs="宋体" w:hint="eastAsia"/>
          <w:sz w:val="24"/>
        </w:rPr>
        <w:t>、</w:t>
      </w:r>
      <w:r>
        <w:rPr>
          <w:rFonts w:hAnsi="宋体" w:cs="宋体"/>
          <w:sz w:val="24"/>
        </w:rPr>
        <w:t>瑞银证券</w:t>
      </w:r>
      <w:r>
        <w:rPr>
          <w:rFonts w:hAnsi="宋体" w:cs="宋体"/>
          <w:sz w:val="24"/>
        </w:rPr>
        <w:br/>
        <w:t xml:space="preserve">    </w:t>
      </w:r>
      <w:r w:rsidRPr="00F90DCC">
        <w:rPr>
          <w:rFonts w:hAnsi="宋体" w:cs="宋体"/>
          <w:sz w:val="24"/>
        </w:rPr>
        <w:t>2025年10</w:t>
      </w:r>
      <w:r w:rsidRPr="00F90DCC">
        <w:rPr>
          <w:rFonts w:hAnsi="宋体" w:cs="宋体" w:hint="eastAsia"/>
          <w:sz w:val="24"/>
        </w:rPr>
        <w:t>月</w:t>
      </w:r>
      <w:r>
        <w:rPr>
          <w:rFonts w:hAnsi="宋体" w:cs="宋体"/>
          <w:sz w:val="24"/>
        </w:rPr>
        <w:t>17</w:t>
      </w:r>
      <w:r w:rsidRPr="00F90DCC">
        <w:rPr>
          <w:rFonts w:hAnsi="宋体" w:cs="宋体"/>
          <w:sz w:val="24"/>
        </w:rPr>
        <w:t>日</w:t>
      </w:r>
      <w:r>
        <w:rPr>
          <w:rFonts w:hAnsi="宋体" w:cs="宋体" w:hint="eastAsia"/>
          <w:sz w:val="24"/>
        </w:rPr>
        <w:t xml:space="preserve"> 雾凇资本、国泰海通</w:t>
      </w:r>
    </w:p>
    <w:p w14:paraId="6C0B40FD" w14:textId="46387F13" w:rsidR="004D1B9E" w:rsidRDefault="008F0BD9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202</w:t>
      </w:r>
      <w:r>
        <w:rPr>
          <w:rFonts w:hAnsi="宋体"/>
          <w:b/>
          <w:bCs/>
          <w:sz w:val="24"/>
        </w:rPr>
        <w:t>5</w:t>
      </w:r>
      <w:r w:rsidR="000D62B1">
        <w:rPr>
          <w:rFonts w:hAnsi="宋体"/>
          <w:b/>
          <w:bCs/>
          <w:sz w:val="24"/>
        </w:rPr>
        <w:t>年半年</w:t>
      </w:r>
      <w:r w:rsidR="006A22C2">
        <w:rPr>
          <w:rFonts w:hAnsi="宋体" w:hint="eastAsia"/>
          <w:b/>
          <w:bCs/>
          <w:sz w:val="24"/>
        </w:rPr>
        <w:t>报主要情况介绍</w:t>
      </w:r>
    </w:p>
    <w:p w14:paraId="3A1307D6" w14:textId="7366A822" w:rsidR="00394C3B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bookmarkStart w:id="0" w:name="OLE_LINK1"/>
      <w:r w:rsidRPr="000D62B1">
        <w:rPr>
          <w:rFonts w:ascii="宋体" w:hAnsi="宋体"/>
          <w:bCs/>
          <w:sz w:val="24"/>
        </w:rPr>
        <w:t>营收与利润增长：2025年上半年聚焦核心主业，实现营业收入13.68亿，同比增长11.9%；净利润3.05亿，同比增长12.2%。自2020年上市五年多来，营收和净利润持续双增长，显示经营韧性。</w:t>
      </w:r>
      <w:r w:rsidRPr="000D62B1">
        <w:rPr>
          <w:rFonts w:ascii="宋体" w:hAnsi="宋体"/>
          <w:bCs/>
          <w:sz w:val="24"/>
        </w:rPr>
        <w:cr/>
        <w:t xml:space="preserve">    经营质量稳健：上半年净资产收益率9.18%，资产负债率34.8%。经营现金</w:t>
      </w:r>
      <w:proofErr w:type="gramStart"/>
      <w:r w:rsidRPr="000D62B1">
        <w:rPr>
          <w:rFonts w:ascii="宋体" w:hAnsi="宋体"/>
          <w:bCs/>
          <w:sz w:val="24"/>
        </w:rPr>
        <w:t>流实现</w:t>
      </w:r>
      <w:proofErr w:type="gramEnd"/>
      <w:r w:rsidRPr="000D62B1">
        <w:rPr>
          <w:rFonts w:ascii="宋体" w:hAnsi="宋体"/>
          <w:bCs/>
          <w:sz w:val="24"/>
        </w:rPr>
        <w:t>净流入1.78亿，同比优化11%。上半年新签订单16.27亿，同比增长8.3%；截至6月30日，在手订单结余39.56亿，同比增长12.6%。</w:t>
      </w:r>
      <w:r w:rsidRPr="000D62B1">
        <w:rPr>
          <w:rFonts w:ascii="宋体" w:hAnsi="宋体"/>
          <w:bCs/>
          <w:sz w:val="24"/>
        </w:rPr>
        <w:cr/>
        <w:t xml:space="preserve">    研发创新成果：持续加大研发投入，上半年研发投入占营收7</w:t>
      </w:r>
      <w:r w:rsidRPr="000D62B1">
        <w:rPr>
          <w:rFonts w:ascii="宋体" w:hAnsi="宋体" w:hint="eastAsia"/>
          <w:bCs/>
          <w:sz w:val="24"/>
        </w:rPr>
        <w:t>.</w:t>
      </w:r>
      <w:r w:rsidRPr="000D62B1">
        <w:rPr>
          <w:rFonts w:ascii="宋体" w:hAnsi="宋体"/>
          <w:bCs/>
          <w:sz w:val="24"/>
        </w:rPr>
        <w:t>6%，研发人员占公司总人数51.5%。成功推出36款创新产品和解决方案，新品收入达6.42亿，占总营收47%。</w:t>
      </w:r>
      <w:r w:rsidRPr="000D62B1">
        <w:rPr>
          <w:rFonts w:ascii="宋体" w:hAnsi="宋体"/>
          <w:bCs/>
          <w:sz w:val="24"/>
        </w:rPr>
        <w:cr/>
        <w:t xml:space="preserve">    股东回报与指数入选：今年1月发布第二期回购计划，截至目前已用自有资金1.5亿回购423万股。计划派发首次中期股息，每十股派发现金分红2.5元，上半年拟派发股息与已回购金额合计</w:t>
      </w:r>
      <w:r w:rsidRPr="000D62B1">
        <w:rPr>
          <w:rFonts w:ascii="宋体" w:hAnsi="宋体" w:hint="eastAsia"/>
          <w:bCs/>
          <w:sz w:val="24"/>
        </w:rPr>
        <w:t>2</w:t>
      </w:r>
      <w:r w:rsidRPr="000D62B1">
        <w:rPr>
          <w:rFonts w:ascii="宋体" w:hAnsi="宋体"/>
          <w:bCs/>
          <w:sz w:val="24"/>
        </w:rPr>
        <w:t>.49亿元</w:t>
      </w:r>
      <w:r w:rsidRPr="000D62B1">
        <w:rPr>
          <w:rFonts w:ascii="宋体" w:hAnsi="宋体" w:hint="eastAsia"/>
          <w:bCs/>
          <w:sz w:val="24"/>
        </w:rPr>
        <w:t>，</w:t>
      </w:r>
      <w:r w:rsidRPr="000D62B1">
        <w:rPr>
          <w:rFonts w:ascii="宋体" w:hAnsi="宋体"/>
          <w:bCs/>
          <w:sz w:val="24"/>
        </w:rPr>
        <w:t>占上半年净利润81.7%。</w:t>
      </w:r>
      <w:r w:rsidRPr="000D62B1">
        <w:rPr>
          <w:rFonts w:ascii="宋体" w:hAnsi="宋体" w:hint="eastAsia"/>
          <w:bCs/>
          <w:sz w:val="24"/>
        </w:rPr>
        <w:t>拟计划未来五年基准现金分红派息率 40%，</w:t>
      </w:r>
      <w:r w:rsidRPr="000D62B1">
        <w:rPr>
          <w:rFonts w:ascii="宋体" w:hAnsi="宋体"/>
          <w:bCs/>
          <w:sz w:val="24"/>
        </w:rPr>
        <w:t>建立长期稳定回报机制。凭借综合表现，入选中证500指数、上证380指数、上证</w:t>
      </w:r>
      <w:proofErr w:type="gramStart"/>
      <w:r w:rsidRPr="000D62B1">
        <w:rPr>
          <w:rFonts w:ascii="宋体" w:hAnsi="宋体"/>
          <w:bCs/>
          <w:sz w:val="24"/>
        </w:rPr>
        <w:t>科创板</w:t>
      </w:r>
      <w:proofErr w:type="gramEnd"/>
      <w:r w:rsidRPr="000D62B1">
        <w:rPr>
          <w:rFonts w:ascii="宋体" w:hAnsi="宋体"/>
          <w:bCs/>
          <w:sz w:val="24"/>
        </w:rPr>
        <w:t>100指数、上证</w:t>
      </w:r>
      <w:proofErr w:type="gramStart"/>
      <w:r w:rsidRPr="000D62B1">
        <w:rPr>
          <w:rFonts w:ascii="宋体" w:hAnsi="宋体"/>
          <w:bCs/>
          <w:sz w:val="24"/>
        </w:rPr>
        <w:t>科创板</w:t>
      </w:r>
      <w:proofErr w:type="gramEnd"/>
      <w:r w:rsidRPr="000D62B1">
        <w:rPr>
          <w:rFonts w:ascii="宋体" w:hAnsi="宋体"/>
          <w:bCs/>
          <w:sz w:val="24"/>
        </w:rPr>
        <w:lastRenderedPageBreak/>
        <w:t>人工智能指数、上证专精特新指数、上证</w:t>
      </w:r>
      <w:proofErr w:type="gramStart"/>
      <w:r w:rsidRPr="000D62B1">
        <w:rPr>
          <w:rFonts w:ascii="宋体" w:hAnsi="宋体"/>
          <w:bCs/>
          <w:sz w:val="24"/>
        </w:rPr>
        <w:t>科创板</w:t>
      </w:r>
      <w:proofErr w:type="gramEnd"/>
      <w:r w:rsidRPr="000D62B1">
        <w:rPr>
          <w:rFonts w:ascii="宋体" w:hAnsi="宋体"/>
          <w:bCs/>
          <w:sz w:val="24"/>
        </w:rPr>
        <w:t>民营企业指数以及湖南50指数。</w:t>
      </w:r>
      <w:r w:rsidRPr="000D62B1">
        <w:rPr>
          <w:rFonts w:ascii="宋体" w:hAnsi="宋体"/>
          <w:bCs/>
          <w:sz w:val="24"/>
        </w:rPr>
        <w:cr/>
      </w:r>
      <w:bookmarkEnd w:id="0"/>
    </w:p>
    <w:p w14:paraId="612B2BF2" w14:textId="19ADB15B" w:rsidR="00F75A9A" w:rsidRPr="00C77FCF" w:rsidRDefault="006A22C2" w:rsidP="00C77FCF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投资者问答</w:t>
      </w:r>
    </w:p>
    <w:p w14:paraId="3F71FF09" w14:textId="3A6494DE" w:rsidR="00C77FCF" w:rsidRPr="00C77FCF" w:rsidRDefault="00C77FCF" w:rsidP="00C77FCF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C77FCF">
        <w:rPr>
          <w:rFonts w:ascii="宋体" w:hAnsi="宋体" w:hint="eastAsia"/>
          <w:b/>
          <w:bCs/>
          <w:sz w:val="24"/>
        </w:rPr>
        <w:t>Q</w:t>
      </w:r>
      <w:r w:rsidRPr="00C77FCF">
        <w:rPr>
          <w:rFonts w:ascii="宋体" w:hAnsi="宋体"/>
          <w:b/>
          <w:bCs/>
          <w:sz w:val="24"/>
        </w:rPr>
        <w:t>:看到公司近期获得的国内国际核心认证与技术成果较多？这些成果和认证会给公司带来哪些赋能</w:t>
      </w:r>
      <w:r w:rsidRPr="00C77FCF">
        <w:rPr>
          <w:rFonts w:ascii="宋体" w:hAnsi="宋体" w:hint="eastAsia"/>
          <w:b/>
          <w:bCs/>
          <w:sz w:val="24"/>
        </w:rPr>
        <w:t>？</w:t>
      </w:r>
    </w:p>
    <w:p w14:paraId="1351CE3E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 w:hint="eastAsia"/>
          <w:bCs/>
          <w:sz w:val="24"/>
        </w:rPr>
        <w:t>A</w:t>
      </w:r>
      <w:r w:rsidRPr="00C77FCF">
        <w:rPr>
          <w:rFonts w:ascii="宋体" w:hAnsi="宋体"/>
          <w:bCs/>
          <w:sz w:val="24"/>
        </w:rPr>
        <w:t>:近期公司持续围绕能源数字化转型与全球化布局</w:t>
      </w:r>
      <w:r w:rsidRPr="00C77FCF">
        <w:rPr>
          <w:rFonts w:ascii="宋体" w:hAnsi="宋体" w:hint="eastAsia"/>
          <w:bCs/>
          <w:sz w:val="24"/>
        </w:rPr>
        <w:t>，</w:t>
      </w:r>
      <w:r w:rsidRPr="00C77FCF">
        <w:rPr>
          <w:rFonts w:ascii="宋体" w:hAnsi="宋体"/>
          <w:bCs/>
          <w:sz w:val="24"/>
        </w:rPr>
        <w:t>在</w:t>
      </w:r>
      <w:r w:rsidRPr="00C77FCF">
        <w:rPr>
          <w:rFonts w:ascii="宋体" w:hAnsi="宋体"/>
          <w:sz w:val="24"/>
        </w:rPr>
        <w:t>核心技术专利、科技奖项、成果评价</w:t>
      </w:r>
      <w:r w:rsidRPr="00C77FCF">
        <w:rPr>
          <w:rFonts w:ascii="宋体" w:hAnsi="宋体"/>
          <w:bCs/>
          <w:sz w:val="24"/>
        </w:rPr>
        <w:t>等方面均取得多项突破</w:t>
      </w:r>
      <w:r w:rsidRPr="00C77FCF">
        <w:rPr>
          <w:rFonts w:ascii="宋体" w:hAnsi="宋体" w:hint="eastAsia"/>
          <w:bCs/>
          <w:sz w:val="24"/>
        </w:rPr>
        <w:t>。</w:t>
      </w:r>
    </w:p>
    <w:p w14:paraId="4461EF6C" w14:textId="4964D2CC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首先是国际标准及专利上</w:t>
      </w:r>
      <w:r w:rsidRPr="00C77FCF">
        <w:rPr>
          <w:rFonts w:ascii="宋体" w:hAnsi="宋体" w:hint="eastAsia"/>
          <w:bCs/>
          <w:sz w:val="24"/>
        </w:rPr>
        <w:t>，威</w:t>
      </w:r>
      <w:proofErr w:type="gramStart"/>
      <w:r w:rsidRPr="00C77FCF">
        <w:rPr>
          <w:rFonts w:ascii="宋体" w:hAnsi="宋体" w:hint="eastAsia"/>
          <w:bCs/>
          <w:sz w:val="24"/>
        </w:rPr>
        <w:t>胜信息</w:t>
      </w:r>
      <w:proofErr w:type="gramEnd"/>
      <w:r w:rsidRPr="00C77FCF">
        <w:rPr>
          <w:rFonts w:ascii="宋体" w:hAnsi="宋体" w:hint="eastAsia"/>
          <w:bCs/>
          <w:sz w:val="24"/>
        </w:rPr>
        <w:t>深度参与制定的全球首个智能配变终端IEEE国际标准发布，作为该标准编制的核心参与方，为这一全球首个智能配变终端国际标准的诞生贡献了关键性的“中国智慧”，也为公司全球配电网业务的拓展构建了坚实的标准支撑体系，使公司产品在进入国际市场时，能凭借与国际标准的高度契合性，降低市场准入壁垒；同时公司自主研发的通信类产品“物联网无线通信核心技术”正式获得美国专利局授权。为公司物联网核心技术走向国际市场奠定关键基础。</w:t>
      </w:r>
      <w:r w:rsidRPr="00C77FCF">
        <w:rPr>
          <w:rFonts w:ascii="宋体" w:hAnsi="宋体"/>
          <w:bCs/>
          <w:sz w:val="24"/>
        </w:rPr>
        <w:t>本次专利授权的异步</w:t>
      </w:r>
      <w:proofErr w:type="gramStart"/>
      <w:r w:rsidRPr="00C77FCF">
        <w:rPr>
          <w:rFonts w:ascii="宋体" w:hAnsi="宋体"/>
          <w:bCs/>
          <w:sz w:val="24"/>
        </w:rPr>
        <w:t>跳频组网</w:t>
      </w:r>
      <w:proofErr w:type="gramEnd"/>
      <w:r w:rsidRPr="00C77FCF">
        <w:rPr>
          <w:rFonts w:ascii="宋体" w:hAnsi="宋体"/>
          <w:bCs/>
          <w:sz w:val="24"/>
        </w:rPr>
        <w:t>技术，解决传统通信 “多节点抢道、数据丢包” 问题，</w:t>
      </w:r>
      <w:r w:rsidRPr="00C77FCF">
        <w:rPr>
          <w:rFonts w:ascii="宋体" w:hAnsi="宋体" w:hint="eastAsia"/>
          <w:bCs/>
          <w:sz w:val="24"/>
        </w:rPr>
        <w:t>更让信道利用效率显著提升，</w:t>
      </w:r>
      <w:r w:rsidRPr="00C77FCF">
        <w:rPr>
          <w:rFonts w:ascii="宋体" w:hAnsi="宋体"/>
          <w:bCs/>
          <w:sz w:val="24"/>
        </w:rPr>
        <w:t>可支撑百万级设备组网和稳定运行，</w:t>
      </w:r>
      <w:r w:rsidRPr="00C77FCF">
        <w:rPr>
          <w:rFonts w:ascii="宋体" w:hAnsi="宋体" w:hint="eastAsia"/>
          <w:bCs/>
          <w:sz w:val="24"/>
        </w:rPr>
        <w:t>提供了核心技术支撑。</w:t>
      </w:r>
      <w:r w:rsidRPr="00C77FCF">
        <w:rPr>
          <w:rFonts w:ascii="宋体" w:hAnsi="宋体"/>
          <w:bCs/>
          <w:sz w:val="24"/>
        </w:rPr>
        <w:t>另外公司的网关类产品综合测控终端RTU (WFDT-7000R)成功通过欧洲顶级实验室KEMA的严苛测试，获得IEC60870-5-101/104规约认证，并取得韩国KERI型式认证</w:t>
      </w:r>
      <w:r w:rsidRPr="00C77FCF">
        <w:rPr>
          <w:rFonts w:ascii="宋体" w:hAnsi="宋体" w:hint="eastAsia"/>
          <w:bCs/>
          <w:sz w:val="24"/>
        </w:rPr>
        <w:t>。</w:t>
      </w:r>
    </w:p>
    <w:p w14:paraId="7C2AE656" w14:textId="287ECD9B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在国内科技奖项及成果上</w:t>
      </w:r>
      <w:r w:rsidRPr="00C77FCF">
        <w:rPr>
          <w:rFonts w:ascii="宋体" w:hAnsi="宋体" w:hint="eastAsia"/>
          <w:bCs/>
          <w:sz w:val="24"/>
        </w:rPr>
        <w:t>，</w:t>
      </w:r>
      <w:r w:rsidRPr="00C77FCF">
        <w:rPr>
          <w:rFonts w:ascii="宋体" w:hAnsi="宋体"/>
          <w:bCs/>
          <w:sz w:val="24"/>
        </w:rPr>
        <w:t>联合高校及</w:t>
      </w:r>
      <w:proofErr w:type="gramStart"/>
      <w:r w:rsidRPr="00C77FCF">
        <w:rPr>
          <w:rFonts w:ascii="宋体" w:hAnsi="宋体"/>
          <w:bCs/>
          <w:sz w:val="24"/>
        </w:rPr>
        <w:t>国网单位</w:t>
      </w:r>
      <w:proofErr w:type="gramEnd"/>
      <w:r w:rsidRPr="00C77FCF">
        <w:rPr>
          <w:rFonts w:ascii="宋体" w:hAnsi="宋体"/>
          <w:bCs/>
          <w:sz w:val="24"/>
        </w:rPr>
        <w:t>攻关的 “新型配电系统故障辨识与定位关键技术及应用” 项目，获 2024 年度江西省科技进步一等奖；</w:t>
      </w:r>
      <w:bookmarkStart w:id="1" w:name="OLE_LINK4"/>
      <w:bookmarkStart w:id="2" w:name="OLE_LINK5"/>
      <w:r w:rsidRPr="00C77FCF">
        <w:rPr>
          <w:rFonts w:ascii="宋体" w:hAnsi="宋体"/>
          <w:bCs/>
          <w:sz w:val="24"/>
        </w:rPr>
        <w:t>四项输电线路解决方案</w:t>
      </w:r>
      <w:bookmarkEnd w:id="1"/>
      <w:bookmarkEnd w:id="2"/>
      <w:r w:rsidRPr="00C77FCF">
        <w:rPr>
          <w:rFonts w:ascii="宋体" w:hAnsi="宋体"/>
          <w:bCs/>
          <w:sz w:val="24"/>
        </w:rPr>
        <w:t>（</w:t>
      </w:r>
      <w:proofErr w:type="gramStart"/>
      <w:r w:rsidRPr="00C77FCF">
        <w:rPr>
          <w:rFonts w:ascii="宋体" w:hAnsi="宋体"/>
          <w:bCs/>
          <w:sz w:val="24"/>
        </w:rPr>
        <w:t>含微气象</w:t>
      </w:r>
      <w:proofErr w:type="gramEnd"/>
      <w:r w:rsidRPr="00C77FCF">
        <w:rPr>
          <w:rFonts w:ascii="宋体" w:hAnsi="宋体"/>
          <w:bCs/>
          <w:sz w:val="24"/>
        </w:rPr>
        <w:t>监测、</w:t>
      </w:r>
      <w:proofErr w:type="gramStart"/>
      <w:r w:rsidRPr="00C77FCF">
        <w:rPr>
          <w:rFonts w:ascii="宋体" w:hAnsi="宋体"/>
          <w:bCs/>
          <w:sz w:val="24"/>
        </w:rPr>
        <w:t>视联融合</w:t>
      </w:r>
      <w:proofErr w:type="gramEnd"/>
      <w:r w:rsidRPr="00C77FCF">
        <w:rPr>
          <w:rFonts w:ascii="宋体" w:hAnsi="宋体"/>
          <w:bCs/>
          <w:sz w:val="24"/>
        </w:rPr>
        <w:t>终端等）及</w:t>
      </w:r>
      <w:r w:rsidRPr="00C77FCF">
        <w:rPr>
          <w:rFonts w:ascii="宋体" w:hAnsi="宋体" w:hint="eastAsia"/>
          <w:bCs/>
          <w:sz w:val="24"/>
        </w:rPr>
        <w:t xml:space="preserve"> </w:t>
      </w:r>
      <w:r w:rsidRPr="00C77FCF">
        <w:rPr>
          <w:rFonts w:ascii="宋体" w:hAnsi="宋体"/>
          <w:bCs/>
          <w:sz w:val="24"/>
        </w:rPr>
        <w:t xml:space="preserve">两项核心终端（综合测控 RTU、厂站电能量采集终端）通过权威评价，其中综合测控 RTU 达国际先进水平，其余多项成果达国内领先水平；获省科技进步一等奖的故障辨识技术，采用 “行波感知 + 智能诊断” 模式实现故障秒级定位（误差≤100 米），配合 “分布式监测 + 无人机巡检” 闭环体系，减少 70% </w:t>
      </w:r>
      <w:r w:rsidR="00901FBE">
        <w:rPr>
          <w:rFonts w:ascii="宋体" w:hAnsi="宋体"/>
          <w:bCs/>
          <w:sz w:val="24"/>
        </w:rPr>
        <w:t>无效巡线工作量，</w:t>
      </w:r>
      <w:r w:rsidRPr="00C77FCF">
        <w:rPr>
          <w:rFonts w:ascii="宋体" w:hAnsi="宋体"/>
          <w:bCs/>
          <w:sz w:val="24"/>
        </w:rPr>
        <w:t>解决 “最后一公里” 故障排查效率低的难题，支撑配电网从 “被动抢修” 向 “主动防御” 转型，同时四</w:t>
      </w:r>
      <w:r w:rsidRPr="00C77FCF">
        <w:rPr>
          <w:rFonts w:ascii="宋体" w:hAnsi="宋体" w:hint="eastAsia"/>
          <w:bCs/>
          <w:sz w:val="24"/>
        </w:rPr>
        <w:t>项输电线路解决方案成功认证，可实时采集输电线路温度、湿度、风速、污秽度等20余项关键参数，实现设备隐患的早期识别与主动防御，显著提升智能电网“可观、可测、可控”能力。将数据传输效率提升40%，故障响应时间缩短至30秒以内，</w:t>
      </w:r>
      <w:r w:rsidRPr="00C77FCF">
        <w:rPr>
          <w:rFonts w:ascii="宋体" w:hAnsi="宋体"/>
          <w:bCs/>
          <w:sz w:val="24"/>
        </w:rPr>
        <w:t>契合政策中提升电网 “可观、可测、可调、可控” 水平要求。公司以上的科技成果正精准响应这些政策核心</w:t>
      </w:r>
      <w:r w:rsidRPr="00C77FCF">
        <w:rPr>
          <w:rFonts w:ascii="宋体" w:hAnsi="宋体" w:hint="eastAsia"/>
          <w:bCs/>
          <w:sz w:val="24"/>
        </w:rPr>
        <w:t>。</w:t>
      </w:r>
    </w:p>
    <w:p w14:paraId="14D364DC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lastRenderedPageBreak/>
        <w:t>未来</w:t>
      </w:r>
      <w:r w:rsidRPr="00C77FCF">
        <w:rPr>
          <w:rFonts w:ascii="宋体" w:hAnsi="宋体" w:hint="eastAsia"/>
          <w:bCs/>
          <w:sz w:val="24"/>
        </w:rPr>
        <w:t>，公司将持续加大研发投入，服务全球新型电力系统建设、工商业数字化转型和家庭能源的智慧化管理，积极参与行业的技术进步和全球能源的绿色低碳转型。</w:t>
      </w:r>
    </w:p>
    <w:p w14:paraId="0CD109E4" w14:textId="77777777" w:rsidR="00C77FCF" w:rsidRPr="00C77FCF" w:rsidRDefault="00C77FCF" w:rsidP="00C77FCF">
      <w:pPr>
        <w:spacing w:line="360" w:lineRule="auto"/>
        <w:rPr>
          <w:rFonts w:ascii="宋体" w:hAnsi="宋体"/>
          <w:b/>
          <w:sz w:val="24"/>
        </w:rPr>
      </w:pPr>
    </w:p>
    <w:p w14:paraId="4A752B9F" w14:textId="4A97131D" w:rsidR="00C77FCF" w:rsidRPr="00C77FCF" w:rsidRDefault="00C77FCF" w:rsidP="00C77FCF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C77FCF">
        <w:rPr>
          <w:rFonts w:ascii="宋体" w:hAnsi="宋体" w:hint="eastAsia"/>
          <w:b/>
          <w:bCs/>
          <w:sz w:val="24"/>
        </w:rPr>
        <w:t>Q</w:t>
      </w:r>
      <w:r w:rsidRPr="00C77FCF">
        <w:rPr>
          <w:rFonts w:ascii="宋体" w:hAnsi="宋体"/>
          <w:b/>
          <w:bCs/>
          <w:sz w:val="24"/>
        </w:rPr>
        <w:t>:</w:t>
      </w:r>
      <w:r w:rsidRPr="00C77FCF">
        <w:rPr>
          <w:rFonts w:ascii="宋体" w:hAnsi="宋体" w:hint="eastAsia"/>
          <w:b/>
          <w:bCs/>
          <w:sz w:val="24"/>
        </w:rPr>
        <w:t>作为物联</w:t>
      </w:r>
      <w:r w:rsidR="00C8100A">
        <w:rPr>
          <w:rFonts w:ascii="宋体" w:hAnsi="宋体" w:hint="eastAsia"/>
          <w:b/>
          <w:bCs/>
          <w:sz w:val="24"/>
        </w:rPr>
        <w:t>网核心企业，随着中国能源转型，电网的最后一公里也越来越受到重视</w:t>
      </w:r>
      <w:bookmarkStart w:id="3" w:name="_GoBack"/>
      <w:bookmarkEnd w:id="3"/>
      <w:r w:rsidRPr="00C77FCF">
        <w:rPr>
          <w:rFonts w:ascii="宋体" w:hAnsi="宋体" w:hint="eastAsia"/>
          <w:b/>
          <w:bCs/>
          <w:sz w:val="24"/>
        </w:rPr>
        <w:t>。</w:t>
      </w:r>
      <w:r w:rsidRPr="00C77FCF">
        <w:rPr>
          <w:rFonts w:ascii="宋体" w:hAnsi="宋体"/>
          <w:b/>
          <w:bCs/>
          <w:sz w:val="24"/>
        </w:rPr>
        <w:t>同时近期</w:t>
      </w:r>
      <w:proofErr w:type="gramStart"/>
      <w:r w:rsidRPr="00C77FCF">
        <w:rPr>
          <w:rFonts w:ascii="宋体" w:hAnsi="宋体"/>
          <w:b/>
          <w:bCs/>
          <w:sz w:val="24"/>
        </w:rPr>
        <w:t>国家发改委</w:t>
      </w:r>
      <w:proofErr w:type="gramEnd"/>
      <w:r w:rsidRPr="00C77FCF">
        <w:rPr>
          <w:rFonts w:ascii="宋体" w:hAnsi="宋体"/>
          <w:b/>
          <w:bCs/>
          <w:sz w:val="24"/>
        </w:rPr>
        <w:t>、国家能源局联合出台推进 “人工智能 +” 能源高质量发展的意见，更给行业带来了新的发展机遇</w:t>
      </w:r>
      <w:r w:rsidRPr="00C77FCF">
        <w:rPr>
          <w:rFonts w:ascii="宋体" w:hAnsi="宋体" w:hint="eastAsia"/>
          <w:b/>
          <w:bCs/>
          <w:sz w:val="24"/>
        </w:rPr>
        <w:t>，公司涵盖应用，网络和感知层，在这其中的优势是什么？</w:t>
      </w:r>
    </w:p>
    <w:p w14:paraId="0C174AA8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 w:hint="eastAsia"/>
          <w:bCs/>
          <w:sz w:val="24"/>
        </w:rPr>
        <w:t>A</w:t>
      </w:r>
      <w:r w:rsidRPr="00C77FCF">
        <w:rPr>
          <w:rFonts w:ascii="宋体" w:hAnsi="宋体"/>
          <w:bCs/>
          <w:sz w:val="24"/>
        </w:rPr>
        <w:t>:全球能源转型推动电力系统从 “单向输送” 向 “双向互动” 重构，</w:t>
      </w:r>
      <w:r w:rsidRPr="00C77FCF">
        <w:rPr>
          <w:rFonts w:ascii="宋体" w:hAnsi="宋体" w:hint="eastAsia"/>
          <w:bCs/>
          <w:sz w:val="24"/>
        </w:rPr>
        <w:t>国家能源局印发《配电网高质量发展行动实施方案</w:t>
      </w:r>
      <w:r w:rsidRPr="00C77FCF">
        <w:rPr>
          <w:rFonts w:ascii="宋体" w:hAnsi="宋体"/>
          <w:bCs/>
          <w:sz w:val="24"/>
        </w:rPr>
        <w:t>(2024-2027年)》</w:t>
      </w:r>
      <w:r w:rsidRPr="00C77FCF">
        <w:rPr>
          <w:rFonts w:ascii="宋体" w:hAnsi="宋体" w:hint="eastAsia"/>
          <w:bCs/>
          <w:sz w:val="24"/>
        </w:rPr>
        <w:t>中，</w:t>
      </w:r>
      <w:r w:rsidRPr="00C77FCF">
        <w:rPr>
          <w:rFonts w:ascii="宋体" w:hAnsi="宋体"/>
          <w:bCs/>
          <w:sz w:val="24"/>
        </w:rPr>
        <w:t>配电网作为 “最后一公里”，是新能源消纳、能源高效交互的核心环节</w:t>
      </w:r>
      <w:r w:rsidRPr="00C77FCF">
        <w:rPr>
          <w:rFonts w:ascii="宋体" w:hAnsi="宋体" w:hint="eastAsia"/>
          <w:bCs/>
          <w:sz w:val="24"/>
        </w:rPr>
        <w:t>。</w:t>
      </w:r>
      <w:r w:rsidRPr="00C77FCF">
        <w:rPr>
          <w:rFonts w:ascii="宋体" w:hAnsi="宋体"/>
          <w:bCs/>
          <w:sz w:val="24"/>
        </w:rPr>
        <w:t>方案中 “提升承载能力” 的要求，正对应着这一环节 “可观、可测、可控、可调” 的刚需。</w:t>
      </w:r>
    </w:p>
    <w:p w14:paraId="7497C4FA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“人工智能 + 能源” 政策部署的 37 项重点任务（如电网智能运维、设备状态评价），进一步加速了 AI 与 “最后一公里” 的融合：威</w:t>
      </w:r>
      <w:proofErr w:type="gramStart"/>
      <w:r w:rsidRPr="00C77FCF">
        <w:rPr>
          <w:rFonts w:ascii="宋体" w:hAnsi="宋体"/>
          <w:bCs/>
          <w:sz w:val="24"/>
        </w:rPr>
        <w:t>胜信息</w:t>
      </w:r>
      <w:proofErr w:type="gramEnd"/>
      <w:r w:rsidRPr="00C77FCF">
        <w:rPr>
          <w:rFonts w:ascii="宋体" w:hAnsi="宋体"/>
          <w:bCs/>
          <w:sz w:val="24"/>
        </w:rPr>
        <w:t>以 “物联网 + 芯片 + 人工智能” 为核心竞争力，已在 “最后一公里” 落地多项关键应用 —— 配电台区 AI 拓扑识别实现 “可测”、负荷管理与分布式光伏功率 AI 智能调控实现 “可调可控”、AI 视觉图像处理实现电网设施智能监测实现 “可观”，公司打造的自</w:t>
      </w:r>
      <w:proofErr w:type="gramStart"/>
      <w:r w:rsidRPr="00C77FCF">
        <w:rPr>
          <w:rFonts w:ascii="宋体" w:hAnsi="宋体"/>
          <w:bCs/>
          <w:sz w:val="24"/>
        </w:rPr>
        <w:t>研</w:t>
      </w:r>
      <w:proofErr w:type="gramEnd"/>
      <w:r w:rsidRPr="00C77FCF">
        <w:rPr>
          <w:rFonts w:ascii="宋体" w:hAnsi="宋体"/>
          <w:bCs/>
          <w:sz w:val="24"/>
        </w:rPr>
        <w:t>通信芯片目前可覆盖全球 70% 以上国家的电力通信解决方案，也为国内配电网侧“最后一公里” 的数字化提供通信技术支撑</w:t>
      </w:r>
      <w:r w:rsidRPr="00C77FCF">
        <w:rPr>
          <w:rFonts w:ascii="宋体" w:hAnsi="宋体" w:hint="eastAsia"/>
          <w:bCs/>
          <w:sz w:val="24"/>
        </w:rPr>
        <w:t>。</w:t>
      </w:r>
    </w:p>
    <w:p w14:paraId="7D6CA2A1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4BA7E569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C77FCF">
        <w:rPr>
          <w:rFonts w:ascii="宋体" w:hAnsi="宋体" w:hint="eastAsia"/>
          <w:b/>
          <w:bCs/>
          <w:sz w:val="24"/>
        </w:rPr>
        <w:t>Q：公司在印尼，沙特等国家都建设了海外工厂，海外业务也是</w:t>
      </w:r>
      <w:r w:rsidRPr="00C77FCF">
        <w:rPr>
          <w:rFonts w:ascii="宋体" w:hAnsi="宋体"/>
          <w:b/>
          <w:bCs/>
          <w:sz w:val="24"/>
        </w:rPr>
        <w:t>公司</w:t>
      </w:r>
      <w:r w:rsidRPr="00C77FCF">
        <w:rPr>
          <w:rFonts w:ascii="宋体" w:hAnsi="宋体" w:hint="eastAsia"/>
          <w:b/>
          <w:bCs/>
          <w:sz w:val="24"/>
        </w:rPr>
        <w:t>的增长亮点。请公司为我们介绍一下海外走出</w:t>
      </w:r>
      <w:proofErr w:type="gramStart"/>
      <w:r w:rsidRPr="00C77FCF">
        <w:rPr>
          <w:rFonts w:ascii="宋体" w:hAnsi="宋体" w:hint="eastAsia"/>
          <w:b/>
          <w:bCs/>
          <w:sz w:val="24"/>
        </w:rPr>
        <w:t>去战略</w:t>
      </w:r>
      <w:proofErr w:type="gramEnd"/>
      <w:r w:rsidRPr="00C77FCF">
        <w:rPr>
          <w:rFonts w:ascii="宋体" w:hAnsi="宋体" w:hint="eastAsia"/>
          <w:b/>
          <w:bCs/>
          <w:sz w:val="24"/>
        </w:rPr>
        <w:t>的后续发展？</w:t>
      </w:r>
    </w:p>
    <w:p w14:paraId="0318CEC8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A</w:t>
      </w:r>
      <w:r w:rsidRPr="00C77FCF">
        <w:rPr>
          <w:rFonts w:ascii="宋体" w:hAnsi="宋体" w:hint="eastAsia"/>
          <w:bCs/>
          <w:sz w:val="24"/>
        </w:rPr>
        <w:t>：</w:t>
      </w:r>
      <w:r w:rsidRPr="00C77FCF">
        <w:rPr>
          <w:rFonts w:ascii="宋体" w:hAnsi="宋体"/>
          <w:bCs/>
          <w:sz w:val="24"/>
        </w:rPr>
        <w:t>全球能源数字化呈现差异化需求：欧美市场聚焦电网升级</w:t>
      </w:r>
      <w:r w:rsidRPr="00C77FCF">
        <w:rPr>
          <w:rFonts w:ascii="宋体" w:hAnsi="宋体" w:hint="eastAsia"/>
          <w:bCs/>
          <w:sz w:val="24"/>
        </w:rPr>
        <w:t>，</w:t>
      </w:r>
      <w:r w:rsidRPr="00C77FCF">
        <w:rPr>
          <w:rFonts w:ascii="宋体" w:hAnsi="宋体"/>
          <w:bCs/>
          <w:sz w:val="24"/>
        </w:rPr>
        <w:t>比如</w:t>
      </w:r>
      <w:r w:rsidRPr="00C77FCF">
        <w:rPr>
          <w:rFonts w:ascii="宋体" w:hAnsi="宋体" w:hint="eastAsia"/>
          <w:bCs/>
          <w:sz w:val="24"/>
        </w:rPr>
        <w:t>欧盟规划未来十年投资5840亿欧元改造电网，其中配网投资占比70%；</w:t>
      </w:r>
      <w:r w:rsidRPr="00C77FCF">
        <w:rPr>
          <w:rFonts w:ascii="宋体" w:hAnsi="宋体"/>
          <w:bCs/>
          <w:sz w:val="24"/>
        </w:rPr>
        <w:t>新兴市场侧重补短板，比如</w:t>
      </w:r>
      <w:r w:rsidRPr="00C77FCF">
        <w:rPr>
          <w:rFonts w:ascii="宋体" w:hAnsi="宋体" w:hint="eastAsia"/>
          <w:bCs/>
          <w:sz w:val="24"/>
        </w:rPr>
        <w:t>印尼正在建设国家级的“绿色赋能超级电网”，目标让原本分散的电力系统实现互联互通</w:t>
      </w:r>
      <w:r w:rsidRPr="00C77FCF">
        <w:rPr>
          <w:rFonts w:ascii="宋体" w:hAnsi="宋体"/>
          <w:bCs/>
          <w:sz w:val="24"/>
        </w:rPr>
        <w:t>。“一带一路” 沿线国家成为核心增量市场，为公司发展提供了广阔空间。</w:t>
      </w:r>
      <w:r w:rsidRPr="00C77FCF">
        <w:rPr>
          <w:rFonts w:ascii="MS Gothic" w:eastAsia="MS Gothic" w:hAnsi="MS Gothic" w:cs="MS Gothic" w:hint="eastAsia"/>
          <w:bCs/>
          <w:sz w:val="24"/>
        </w:rPr>
        <w:t>​</w:t>
      </w:r>
    </w:p>
    <w:p w14:paraId="69C175C4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sz w:val="24"/>
        </w:rPr>
      </w:pPr>
      <w:r w:rsidRPr="00C77FCF">
        <w:rPr>
          <w:rFonts w:ascii="宋体" w:hAnsi="宋体" w:hint="eastAsia"/>
          <w:bCs/>
          <w:sz w:val="24"/>
        </w:rPr>
        <w:t>海外业务可持续发展是公司坚定的战略方向。海外市场公司重点布局东盟十国、中东海湾六国和非洲政治稳定经济活跃的新兴市场国家。受全球能源短缺和制造业重构的影响，这些新兴国家在</w:t>
      </w:r>
      <w:proofErr w:type="gramStart"/>
      <w:r w:rsidRPr="00C77FCF">
        <w:rPr>
          <w:rFonts w:ascii="宋体" w:hAnsi="宋体" w:hint="eastAsia"/>
          <w:bCs/>
          <w:sz w:val="24"/>
        </w:rPr>
        <w:t>能源电水气</w:t>
      </w:r>
      <w:proofErr w:type="gramEnd"/>
      <w:r w:rsidRPr="00C77FCF">
        <w:rPr>
          <w:rFonts w:ascii="宋体" w:hAnsi="宋体" w:hint="eastAsia"/>
          <w:bCs/>
          <w:sz w:val="24"/>
        </w:rPr>
        <w:t>基础设施的数字化和智能化是趋势和刚需，对此，公司有丰富而成熟的解决方案，技术路线和产品成熟</w:t>
      </w:r>
      <w:r w:rsidRPr="00C77FCF">
        <w:rPr>
          <w:rFonts w:ascii="宋体" w:hAnsi="宋体" w:hint="eastAsia"/>
          <w:bCs/>
          <w:sz w:val="24"/>
        </w:rPr>
        <w:lastRenderedPageBreak/>
        <w:t>齐备，技术团队完成少量本地化优化即可满足海外业务发展。公司在国内市场领先的同时，仍在不断创新，拥有下一代新技术的储备，满足下一代新标准需求。公司每年持续投入新技术研发，产生了业绩和技术积累的积极效应。公司的组织架构与时俱进，跟随国内和海外战略客户的需求导向进行适应和创新发展，整体上使公司的核心竞争力侧重在“物联网+芯片+人工智能”的技术领先和技术输出，以综合解决方案的能力保持国内领先的同时，不断提升海外业务的占比，由国际主流向国际领先地位看齐</w:t>
      </w:r>
      <w:r w:rsidRPr="00C77FCF">
        <w:rPr>
          <w:rFonts w:ascii="宋体" w:hAnsi="宋体" w:hint="eastAsia"/>
          <w:sz w:val="24"/>
        </w:rPr>
        <w:t>。</w:t>
      </w:r>
    </w:p>
    <w:p w14:paraId="3DCFD95D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69D2AA9C" w14:textId="77777777" w:rsidR="00C77FCF" w:rsidRPr="00C77FCF" w:rsidRDefault="00C77FCF" w:rsidP="00C77FCF">
      <w:pPr>
        <w:widowControl/>
        <w:wordWrap w:val="0"/>
        <w:spacing w:line="420" w:lineRule="exact"/>
        <w:jc w:val="left"/>
        <w:rPr>
          <w:rFonts w:ascii="宋体" w:hAnsi="宋体"/>
          <w:b/>
          <w:bCs/>
          <w:sz w:val="24"/>
        </w:rPr>
      </w:pPr>
      <w:r w:rsidRPr="00C77FCF">
        <w:rPr>
          <w:rFonts w:ascii="宋体" w:hAnsi="宋体" w:hint="eastAsia"/>
          <w:b/>
          <w:bCs/>
          <w:sz w:val="24"/>
        </w:rPr>
        <w:t>Q</w:t>
      </w:r>
      <w:r w:rsidRPr="00C77FCF">
        <w:rPr>
          <w:rFonts w:ascii="宋体" w:hAnsi="宋体"/>
          <w:b/>
          <w:bCs/>
          <w:sz w:val="24"/>
        </w:rPr>
        <w:t>:威</w:t>
      </w:r>
      <w:proofErr w:type="gramStart"/>
      <w:r w:rsidRPr="00C77FCF">
        <w:rPr>
          <w:rFonts w:ascii="宋体" w:hAnsi="宋体"/>
          <w:b/>
          <w:bCs/>
          <w:sz w:val="24"/>
        </w:rPr>
        <w:t>胜信息</w:t>
      </w:r>
      <w:proofErr w:type="gramEnd"/>
      <w:r w:rsidRPr="00C77FCF">
        <w:rPr>
          <w:rFonts w:ascii="宋体" w:hAnsi="宋体"/>
          <w:b/>
          <w:bCs/>
          <w:sz w:val="24"/>
        </w:rPr>
        <w:t>沙特工厂近期成立</w:t>
      </w:r>
      <w:r w:rsidRPr="00C77FCF">
        <w:rPr>
          <w:rFonts w:ascii="宋体" w:hAnsi="宋体" w:hint="eastAsia"/>
          <w:b/>
          <w:bCs/>
          <w:sz w:val="24"/>
        </w:rPr>
        <w:t>，</w:t>
      </w:r>
      <w:r w:rsidRPr="00C77FCF">
        <w:rPr>
          <w:rFonts w:ascii="宋体" w:hAnsi="宋体"/>
          <w:b/>
          <w:bCs/>
          <w:sz w:val="24"/>
        </w:rPr>
        <w:t>公司对于沙特工厂的定位是怎样的</w:t>
      </w:r>
      <w:r w:rsidRPr="00C77FCF">
        <w:rPr>
          <w:rFonts w:ascii="宋体" w:hAnsi="宋体" w:hint="eastAsia"/>
          <w:b/>
          <w:bCs/>
          <w:sz w:val="24"/>
        </w:rPr>
        <w:t>？</w:t>
      </w:r>
    </w:p>
    <w:p w14:paraId="51E81D1B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A:9月29日，威</w:t>
      </w:r>
      <w:proofErr w:type="gramStart"/>
      <w:r w:rsidRPr="00C77FCF">
        <w:rPr>
          <w:rFonts w:ascii="宋体" w:hAnsi="宋体"/>
          <w:bCs/>
          <w:sz w:val="24"/>
        </w:rPr>
        <w:t>胜信息</w:t>
      </w:r>
      <w:proofErr w:type="gramEnd"/>
      <w:r w:rsidRPr="00C77FCF">
        <w:rPr>
          <w:rFonts w:ascii="宋体" w:hAnsi="宋体"/>
          <w:bCs/>
          <w:sz w:val="24"/>
        </w:rPr>
        <w:t>沙特技术中心在沙特西部港口城市延布正式落成启用。沙特技术中心是威</w:t>
      </w:r>
      <w:proofErr w:type="gramStart"/>
      <w:r w:rsidRPr="00C77FCF">
        <w:rPr>
          <w:rFonts w:ascii="宋体" w:hAnsi="宋体"/>
          <w:bCs/>
          <w:sz w:val="24"/>
        </w:rPr>
        <w:t>胜信息海外</w:t>
      </w:r>
      <w:proofErr w:type="gramEnd"/>
      <w:r w:rsidRPr="00C77FCF">
        <w:rPr>
          <w:rFonts w:ascii="宋体" w:hAnsi="宋体"/>
          <w:bCs/>
          <w:sz w:val="24"/>
        </w:rPr>
        <w:t>的重要布局载体，立足于沙特及中东地区，致力于将中国成熟的技术积累与中东市场需求深度融合，成为沙特及中东地区智慧电力、智慧水务、智慧城市领域的核心服务商，更成为中沙企业携手共筑沙特“2030愿景”的生动实践。</w:t>
      </w:r>
    </w:p>
    <w:p w14:paraId="50B16701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沙特技术中心不仅是威</w:t>
      </w:r>
      <w:proofErr w:type="gramStart"/>
      <w:r w:rsidRPr="00C77FCF">
        <w:rPr>
          <w:rFonts w:ascii="宋体" w:hAnsi="宋体"/>
          <w:bCs/>
          <w:sz w:val="24"/>
        </w:rPr>
        <w:t>胜信息</w:t>
      </w:r>
      <w:proofErr w:type="gramEnd"/>
      <w:r w:rsidRPr="00C77FCF">
        <w:rPr>
          <w:rFonts w:ascii="宋体" w:hAnsi="宋体"/>
          <w:bCs/>
          <w:sz w:val="24"/>
        </w:rPr>
        <w:t>深耕中东市场、完善全球化技术服务网络的重要里程碑，更成为“威胜方案”对接区域需求、输出中国智</w:t>
      </w:r>
      <w:proofErr w:type="gramStart"/>
      <w:r w:rsidRPr="00C77FCF">
        <w:rPr>
          <w:rFonts w:ascii="宋体" w:hAnsi="宋体"/>
          <w:bCs/>
          <w:sz w:val="24"/>
        </w:rPr>
        <w:t>造实力</w:t>
      </w:r>
      <w:proofErr w:type="gramEnd"/>
      <w:r w:rsidRPr="00C77FCF">
        <w:rPr>
          <w:rFonts w:ascii="宋体" w:hAnsi="宋体"/>
          <w:bCs/>
          <w:sz w:val="24"/>
        </w:rPr>
        <w:t>的前沿载体。该中心的落地，标志着威</w:t>
      </w:r>
      <w:proofErr w:type="gramStart"/>
      <w:r w:rsidRPr="00C77FCF">
        <w:rPr>
          <w:rFonts w:ascii="宋体" w:hAnsi="宋体"/>
          <w:bCs/>
          <w:sz w:val="24"/>
        </w:rPr>
        <w:t>胜信息</w:t>
      </w:r>
      <w:proofErr w:type="gramEnd"/>
      <w:r w:rsidRPr="00C77FCF">
        <w:rPr>
          <w:rFonts w:ascii="宋体" w:hAnsi="宋体"/>
          <w:bCs/>
          <w:sz w:val="24"/>
        </w:rPr>
        <w:t>从“技术输出”升级为“本地生产+属地化服务”，能更快速响应中东客户的定制</w:t>
      </w:r>
      <w:proofErr w:type="gramStart"/>
      <w:r w:rsidRPr="00C77FCF">
        <w:rPr>
          <w:rFonts w:ascii="宋体" w:hAnsi="宋体"/>
          <w:bCs/>
          <w:sz w:val="24"/>
        </w:rPr>
        <w:t>化需求</w:t>
      </w:r>
      <w:proofErr w:type="gramEnd"/>
      <w:r w:rsidRPr="00C77FCF">
        <w:rPr>
          <w:rFonts w:ascii="宋体" w:hAnsi="宋体"/>
          <w:bCs/>
          <w:sz w:val="24"/>
        </w:rPr>
        <w:t>与交付时效。</w:t>
      </w:r>
    </w:p>
    <w:p w14:paraId="40C9752B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目前公司的主要解决方案的技术优势与中东市场需求深度结合：</w:t>
      </w:r>
    </w:p>
    <w:p w14:paraId="0BA0CA5E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水和气AMI解决方案：通过精准计量、远程抄表与数据分析功能，解决中东地区水资源稀缺、能源管理精细化的痛点，降低公用事业运营成本</w:t>
      </w:r>
      <w:r w:rsidRPr="00C77FCF">
        <w:rPr>
          <w:rFonts w:ascii="宋体" w:hAnsi="宋体" w:hint="eastAsia"/>
          <w:bCs/>
          <w:sz w:val="24"/>
        </w:rPr>
        <w:t>。</w:t>
      </w:r>
    </w:p>
    <w:p w14:paraId="32802029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智慧水务解决方案：构建“源头-管网-用户”全链路监测平台，有效降低漏损率、提升运维效率，匹配中东地区水务基础设施升级需求。</w:t>
      </w:r>
    </w:p>
    <w:p w14:paraId="785E9E95" w14:textId="77777777" w:rsidR="00C77FCF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智能电网解决方案：以数字化感知与调度技术，助力中东地区优化能源结构，适配当地高比例可再生能源接入需求，提升电网运行稳定性与效率</w:t>
      </w:r>
      <w:r w:rsidRPr="00C77FCF">
        <w:rPr>
          <w:rFonts w:ascii="宋体" w:hAnsi="宋体" w:hint="eastAsia"/>
          <w:bCs/>
          <w:sz w:val="24"/>
        </w:rPr>
        <w:t>。</w:t>
      </w:r>
    </w:p>
    <w:p w14:paraId="7E3E3F08" w14:textId="60F6A43A" w:rsidR="00F75A9A" w:rsidRPr="00C77FCF" w:rsidRDefault="00C77FCF" w:rsidP="00C77FC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77FCF">
        <w:rPr>
          <w:rFonts w:ascii="宋体" w:hAnsi="宋体"/>
          <w:bCs/>
          <w:sz w:val="24"/>
        </w:rPr>
        <w:t>未来，公司将以中东市场为重要战略支点，依托沙特新技术中心的本地化服务能力，为区域能源与水务数字化升级提供更贴合需求的解决方案；同时，以中东市场的合作成果为基石，持续将成熟的智慧水务技术与经验推向全球，为世界范围内的基础设施转型与水资源高效利用贡献中国力量。</w:t>
      </w:r>
    </w:p>
    <w:sectPr w:rsidR="00F75A9A" w:rsidRPr="00C77F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9A594" w14:textId="77777777" w:rsidR="00C019BF" w:rsidRDefault="00C019BF">
      <w:r>
        <w:separator/>
      </w:r>
    </w:p>
  </w:endnote>
  <w:endnote w:type="continuationSeparator" w:id="0">
    <w:p w14:paraId="484C931E" w14:textId="77777777" w:rsidR="00C019BF" w:rsidRDefault="00C0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5AA821A7" w14:textId="77777777" w:rsidR="004D1B9E" w:rsidRDefault="006A22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00A" w:rsidRPr="00C8100A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37980" w14:textId="77777777" w:rsidR="00C019BF" w:rsidRDefault="00C019BF">
      <w:r>
        <w:separator/>
      </w:r>
    </w:p>
  </w:footnote>
  <w:footnote w:type="continuationSeparator" w:id="0">
    <w:p w14:paraId="708FB1B5" w14:textId="77777777" w:rsidR="00C019BF" w:rsidRDefault="00C01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E2"/>
    <w:multiLevelType w:val="multilevel"/>
    <w:tmpl w:val="BDF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A340F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4D01757"/>
    <w:multiLevelType w:val="multilevel"/>
    <w:tmpl w:val="376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21210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42267698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96027E8"/>
    <w:multiLevelType w:val="multilevel"/>
    <w:tmpl w:val="58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5E79"/>
    <w:multiLevelType w:val="multilevel"/>
    <w:tmpl w:val="1CA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219E0"/>
    <w:multiLevelType w:val="multilevel"/>
    <w:tmpl w:val="DC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D0A09"/>
    <w:multiLevelType w:val="multilevel"/>
    <w:tmpl w:val="6812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2258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3567BF"/>
    <w:multiLevelType w:val="multilevel"/>
    <w:tmpl w:val="BBB2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2" w15:restartNumberingAfterBreak="0">
    <w:nsid w:val="71C323C4"/>
    <w:multiLevelType w:val="multilevel"/>
    <w:tmpl w:val="7F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96FCE"/>
    <w:multiLevelType w:val="multilevel"/>
    <w:tmpl w:val="074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50BEC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7D4D34AC"/>
    <w:multiLevelType w:val="multilevel"/>
    <w:tmpl w:val="CEE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E85"/>
    <w:rsid w:val="00053FE4"/>
    <w:rsid w:val="000559A7"/>
    <w:rsid w:val="000619A7"/>
    <w:rsid w:val="00061AF6"/>
    <w:rsid w:val="0006525A"/>
    <w:rsid w:val="000657A5"/>
    <w:rsid w:val="00065FD3"/>
    <w:rsid w:val="00067C47"/>
    <w:rsid w:val="0007247D"/>
    <w:rsid w:val="00073DB5"/>
    <w:rsid w:val="000747E3"/>
    <w:rsid w:val="000748A0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5DB2"/>
    <w:rsid w:val="000D61E9"/>
    <w:rsid w:val="000D62B1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1D3B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65654"/>
    <w:rsid w:val="00170E4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36D1"/>
    <w:rsid w:val="001904BB"/>
    <w:rsid w:val="00191D34"/>
    <w:rsid w:val="00192240"/>
    <w:rsid w:val="0019259D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3EBF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312D"/>
    <w:rsid w:val="00264107"/>
    <w:rsid w:val="0026765E"/>
    <w:rsid w:val="00267D9F"/>
    <w:rsid w:val="00275D88"/>
    <w:rsid w:val="002814F4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3D79"/>
    <w:rsid w:val="002C540A"/>
    <w:rsid w:val="002C5C59"/>
    <w:rsid w:val="002C6142"/>
    <w:rsid w:val="002C76E4"/>
    <w:rsid w:val="002D0C22"/>
    <w:rsid w:val="002D129C"/>
    <w:rsid w:val="002D4481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0EDE"/>
    <w:rsid w:val="003111F7"/>
    <w:rsid w:val="00314B5F"/>
    <w:rsid w:val="00315318"/>
    <w:rsid w:val="00316AE0"/>
    <w:rsid w:val="003215DA"/>
    <w:rsid w:val="003240B3"/>
    <w:rsid w:val="00325933"/>
    <w:rsid w:val="00327C23"/>
    <w:rsid w:val="00330B7B"/>
    <w:rsid w:val="00332C8A"/>
    <w:rsid w:val="00344487"/>
    <w:rsid w:val="00344715"/>
    <w:rsid w:val="003455A2"/>
    <w:rsid w:val="003471C6"/>
    <w:rsid w:val="00347FE2"/>
    <w:rsid w:val="0035208F"/>
    <w:rsid w:val="00353B4A"/>
    <w:rsid w:val="00355707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7CEC"/>
    <w:rsid w:val="0039075C"/>
    <w:rsid w:val="00392B90"/>
    <w:rsid w:val="00394C3B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4EF1"/>
    <w:rsid w:val="003F50A5"/>
    <w:rsid w:val="003F6B4E"/>
    <w:rsid w:val="003F77DF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63BA"/>
    <w:rsid w:val="00467728"/>
    <w:rsid w:val="004707C3"/>
    <w:rsid w:val="00473182"/>
    <w:rsid w:val="0047646D"/>
    <w:rsid w:val="0048039F"/>
    <w:rsid w:val="004813B0"/>
    <w:rsid w:val="00483E2E"/>
    <w:rsid w:val="00487EEB"/>
    <w:rsid w:val="004914E5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5E49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7D0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5E8E"/>
    <w:rsid w:val="005071C2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75D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8129D"/>
    <w:rsid w:val="00582D00"/>
    <w:rsid w:val="005839AF"/>
    <w:rsid w:val="00587E9F"/>
    <w:rsid w:val="005900D8"/>
    <w:rsid w:val="00590293"/>
    <w:rsid w:val="00592D9A"/>
    <w:rsid w:val="00594CD1"/>
    <w:rsid w:val="005950CE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C6D5D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600266"/>
    <w:rsid w:val="006003B2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41C6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C1475"/>
    <w:rsid w:val="006C3A70"/>
    <w:rsid w:val="006C51D5"/>
    <w:rsid w:val="006C53F9"/>
    <w:rsid w:val="006C5B81"/>
    <w:rsid w:val="006C621E"/>
    <w:rsid w:val="006C7F1A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618B"/>
    <w:rsid w:val="0074692B"/>
    <w:rsid w:val="00747666"/>
    <w:rsid w:val="0075086C"/>
    <w:rsid w:val="00751921"/>
    <w:rsid w:val="00751B86"/>
    <w:rsid w:val="007521B0"/>
    <w:rsid w:val="00753B49"/>
    <w:rsid w:val="00754B40"/>
    <w:rsid w:val="00764FF2"/>
    <w:rsid w:val="00765B9D"/>
    <w:rsid w:val="007662B5"/>
    <w:rsid w:val="0077020E"/>
    <w:rsid w:val="00773115"/>
    <w:rsid w:val="00774DF4"/>
    <w:rsid w:val="0077651B"/>
    <w:rsid w:val="00776C76"/>
    <w:rsid w:val="0078190F"/>
    <w:rsid w:val="007823F9"/>
    <w:rsid w:val="007829D2"/>
    <w:rsid w:val="0078472D"/>
    <w:rsid w:val="007853E0"/>
    <w:rsid w:val="00786F28"/>
    <w:rsid w:val="00786FB7"/>
    <w:rsid w:val="007872E0"/>
    <w:rsid w:val="007911D2"/>
    <w:rsid w:val="007918E8"/>
    <w:rsid w:val="0079241C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7F2FA4"/>
    <w:rsid w:val="007F5A7D"/>
    <w:rsid w:val="00807D02"/>
    <w:rsid w:val="00813C6D"/>
    <w:rsid w:val="00814A85"/>
    <w:rsid w:val="00816852"/>
    <w:rsid w:val="00820EEB"/>
    <w:rsid w:val="00821BCB"/>
    <w:rsid w:val="00821E86"/>
    <w:rsid w:val="0082652E"/>
    <w:rsid w:val="00831EBE"/>
    <w:rsid w:val="0083426D"/>
    <w:rsid w:val="00834A3E"/>
    <w:rsid w:val="0083589D"/>
    <w:rsid w:val="00835E7E"/>
    <w:rsid w:val="00837ABB"/>
    <w:rsid w:val="0084448F"/>
    <w:rsid w:val="008505B2"/>
    <w:rsid w:val="00853F51"/>
    <w:rsid w:val="0085529F"/>
    <w:rsid w:val="00860E48"/>
    <w:rsid w:val="00860EEB"/>
    <w:rsid w:val="0086244E"/>
    <w:rsid w:val="00866A59"/>
    <w:rsid w:val="008670E8"/>
    <w:rsid w:val="00870709"/>
    <w:rsid w:val="008715C8"/>
    <w:rsid w:val="00874223"/>
    <w:rsid w:val="008746E6"/>
    <w:rsid w:val="00875D3B"/>
    <w:rsid w:val="00876371"/>
    <w:rsid w:val="0087741B"/>
    <w:rsid w:val="008808F6"/>
    <w:rsid w:val="00881CD7"/>
    <w:rsid w:val="00881E4B"/>
    <w:rsid w:val="0088293D"/>
    <w:rsid w:val="008872EE"/>
    <w:rsid w:val="00893EBF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754E"/>
    <w:rsid w:val="008C1A2A"/>
    <w:rsid w:val="008C3D98"/>
    <w:rsid w:val="008C40BB"/>
    <w:rsid w:val="008C5917"/>
    <w:rsid w:val="008D027B"/>
    <w:rsid w:val="008D1526"/>
    <w:rsid w:val="008D16F0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76C1"/>
    <w:rsid w:val="00901FBE"/>
    <w:rsid w:val="009020E2"/>
    <w:rsid w:val="00902D57"/>
    <w:rsid w:val="0090415B"/>
    <w:rsid w:val="009042F6"/>
    <w:rsid w:val="00906E4A"/>
    <w:rsid w:val="00907677"/>
    <w:rsid w:val="009114D4"/>
    <w:rsid w:val="00912441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9115E"/>
    <w:rsid w:val="00A93DDE"/>
    <w:rsid w:val="00A945E6"/>
    <w:rsid w:val="00A94F16"/>
    <w:rsid w:val="00A9650B"/>
    <w:rsid w:val="00AA1D55"/>
    <w:rsid w:val="00AA1EC1"/>
    <w:rsid w:val="00AA3177"/>
    <w:rsid w:val="00AA388B"/>
    <w:rsid w:val="00AA60CB"/>
    <w:rsid w:val="00AB05FA"/>
    <w:rsid w:val="00AB0635"/>
    <w:rsid w:val="00AB13BE"/>
    <w:rsid w:val="00AB1626"/>
    <w:rsid w:val="00AB1C02"/>
    <w:rsid w:val="00AB2798"/>
    <w:rsid w:val="00AB428B"/>
    <w:rsid w:val="00AB4D2C"/>
    <w:rsid w:val="00AC0738"/>
    <w:rsid w:val="00AC2821"/>
    <w:rsid w:val="00AC6227"/>
    <w:rsid w:val="00AD1D83"/>
    <w:rsid w:val="00AD364F"/>
    <w:rsid w:val="00AD40E5"/>
    <w:rsid w:val="00AD528F"/>
    <w:rsid w:val="00AD71EE"/>
    <w:rsid w:val="00AE1A2A"/>
    <w:rsid w:val="00AE2F26"/>
    <w:rsid w:val="00AE3265"/>
    <w:rsid w:val="00AE3ABE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4F40"/>
    <w:rsid w:val="00BE55A7"/>
    <w:rsid w:val="00BE5631"/>
    <w:rsid w:val="00BE6C53"/>
    <w:rsid w:val="00BE6CE5"/>
    <w:rsid w:val="00BE7324"/>
    <w:rsid w:val="00BF107B"/>
    <w:rsid w:val="00BF180C"/>
    <w:rsid w:val="00BF27FC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19BF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77FCF"/>
    <w:rsid w:val="00C8100A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C4CEA"/>
    <w:rsid w:val="00CC5F2C"/>
    <w:rsid w:val="00CC6FE6"/>
    <w:rsid w:val="00CD40B9"/>
    <w:rsid w:val="00CD5A46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53E4E"/>
    <w:rsid w:val="00D55691"/>
    <w:rsid w:val="00D61C5F"/>
    <w:rsid w:val="00D61ED9"/>
    <w:rsid w:val="00D6213E"/>
    <w:rsid w:val="00D627EA"/>
    <w:rsid w:val="00D62D1A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AB1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DC1"/>
    <w:rsid w:val="00DC65EF"/>
    <w:rsid w:val="00DC6D68"/>
    <w:rsid w:val="00DD0132"/>
    <w:rsid w:val="00DD1CFF"/>
    <w:rsid w:val="00DD202B"/>
    <w:rsid w:val="00DD25E9"/>
    <w:rsid w:val="00DD2BF4"/>
    <w:rsid w:val="00DD4078"/>
    <w:rsid w:val="00DD5343"/>
    <w:rsid w:val="00DD568C"/>
    <w:rsid w:val="00DD7254"/>
    <w:rsid w:val="00DE210F"/>
    <w:rsid w:val="00DE3630"/>
    <w:rsid w:val="00DE3AE7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46BF"/>
    <w:rsid w:val="00E34C7F"/>
    <w:rsid w:val="00E47EA1"/>
    <w:rsid w:val="00E50DFB"/>
    <w:rsid w:val="00E543D8"/>
    <w:rsid w:val="00E54A1B"/>
    <w:rsid w:val="00E55729"/>
    <w:rsid w:val="00E561B5"/>
    <w:rsid w:val="00E56AB3"/>
    <w:rsid w:val="00E610CE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29A3"/>
    <w:rsid w:val="00EB408D"/>
    <w:rsid w:val="00EB4597"/>
    <w:rsid w:val="00EB5C43"/>
    <w:rsid w:val="00EB5D74"/>
    <w:rsid w:val="00EB5FB5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16A"/>
    <w:rsid w:val="00F0285A"/>
    <w:rsid w:val="00F02C6B"/>
    <w:rsid w:val="00F07FD9"/>
    <w:rsid w:val="00F11057"/>
    <w:rsid w:val="00F110CF"/>
    <w:rsid w:val="00F11AD2"/>
    <w:rsid w:val="00F129FB"/>
    <w:rsid w:val="00F15308"/>
    <w:rsid w:val="00F15468"/>
    <w:rsid w:val="00F15828"/>
    <w:rsid w:val="00F20AD0"/>
    <w:rsid w:val="00F3117B"/>
    <w:rsid w:val="00F33AFE"/>
    <w:rsid w:val="00F35272"/>
    <w:rsid w:val="00F354B6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7C54"/>
    <w:rsid w:val="00F61170"/>
    <w:rsid w:val="00F63E7F"/>
    <w:rsid w:val="00F6640A"/>
    <w:rsid w:val="00F674B5"/>
    <w:rsid w:val="00F70441"/>
    <w:rsid w:val="00F712C6"/>
    <w:rsid w:val="00F717D5"/>
    <w:rsid w:val="00F71E55"/>
    <w:rsid w:val="00F74FA7"/>
    <w:rsid w:val="00F75A9A"/>
    <w:rsid w:val="00F77F24"/>
    <w:rsid w:val="00F77FB1"/>
    <w:rsid w:val="00F83966"/>
    <w:rsid w:val="00F83B43"/>
    <w:rsid w:val="00F86C3C"/>
    <w:rsid w:val="00F9429D"/>
    <w:rsid w:val="00F94868"/>
    <w:rsid w:val="00F94DFF"/>
    <w:rsid w:val="00F9621F"/>
    <w:rsid w:val="00F967FF"/>
    <w:rsid w:val="00F96DBE"/>
    <w:rsid w:val="00FA08E3"/>
    <w:rsid w:val="00FA0AD6"/>
    <w:rsid w:val="00FA513B"/>
    <w:rsid w:val="00FA7E74"/>
    <w:rsid w:val="00FB0CCF"/>
    <w:rsid w:val="00FB1B67"/>
    <w:rsid w:val="00FB2B93"/>
    <w:rsid w:val="00FB36CC"/>
    <w:rsid w:val="00FB3882"/>
    <w:rsid w:val="00FB5C5A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C21"/>
    <w:rsid w:val="00FE4F6A"/>
    <w:rsid w:val="00FE577C"/>
    <w:rsid w:val="00FE69A1"/>
    <w:rsid w:val="00FF25B5"/>
    <w:rsid w:val="00FF3D68"/>
    <w:rsid w:val="00FF78CC"/>
    <w:rsid w:val="05CF0835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332E1-D979-4A1C-BA99-848A752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99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  <w:style w:type="character" w:customStyle="1" w:styleId="lb">
    <w:name w:val="lb"/>
    <w:basedOn w:val="a0"/>
    <w:rsid w:val="00FE69A1"/>
  </w:style>
  <w:style w:type="paragraph" w:styleId="3">
    <w:name w:val="toc 3"/>
    <w:basedOn w:val="a"/>
    <w:next w:val="a"/>
    <w:uiPriority w:val="39"/>
    <w:qFormat/>
    <w:rsid w:val="00EB5C43"/>
    <w:pPr>
      <w:ind w:left="420"/>
      <w:jc w:val="left"/>
    </w:pPr>
    <w:rPr>
      <w:rFonts w:ascii="等线" w:eastAsia="等线" w:hAnsi="等线" w:cs="宋体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AEC40-3479-45D6-AFDB-C32EBB20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1397</Words>
  <Characters>2321</Characters>
  <Application>Microsoft Office Word</Application>
  <DocSecurity>0</DocSecurity>
  <Lines>331</Lines>
  <Paragraphs>309</Paragraphs>
  <ScaleCrop>false</ScaleCrop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余萱</cp:lastModifiedBy>
  <cp:revision>15</cp:revision>
  <cp:lastPrinted>2024-08-21T06:15:00Z</cp:lastPrinted>
  <dcterms:created xsi:type="dcterms:W3CDTF">2025-06-16T07:11:00Z</dcterms:created>
  <dcterms:modified xsi:type="dcterms:W3CDTF">2025-10-17T07:48:00Z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