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9127" w14:textId="77777777" w:rsidR="00C33E13" w:rsidRPr="00670ACC" w:rsidRDefault="00C33E13" w:rsidP="00670ACC">
      <w:pPr>
        <w:spacing w:line="360" w:lineRule="auto"/>
        <w:jc w:val="center"/>
        <w:rPr>
          <w:rFonts w:ascii="宋体" w:eastAsia="宋体" w:hAnsi="宋体" w:hint="eastAsia"/>
          <w:sz w:val="24"/>
        </w:rPr>
      </w:pPr>
      <w:r w:rsidRPr="00670ACC">
        <w:rPr>
          <w:rFonts w:ascii="宋体" w:eastAsia="宋体" w:hAnsi="宋体" w:hint="eastAsia"/>
          <w:sz w:val="24"/>
        </w:rPr>
        <w:t>A股</w:t>
      </w:r>
      <w:r w:rsidRPr="00670ACC">
        <w:rPr>
          <w:rFonts w:ascii="宋体" w:eastAsia="宋体" w:hAnsi="宋体"/>
          <w:sz w:val="24"/>
        </w:rPr>
        <w:t>代码：688</w:t>
      </w:r>
      <w:r w:rsidRPr="00670ACC">
        <w:rPr>
          <w:rFonts w:ascii="宋体" w:eastAsia="宋体" w:hAnsi="宋体" w:hint="eastAsia"/>
          <w:sz w:val="24"/>
        </w:rPr>
        <w:t>428                                A股简称：诺诚健华</w:t>
      </w:r>
    </w:p>
    <w:p w14:paraId="71C7C89C" w14:textId="197178FB" w:rsidR="00C33E13" w:rsidRPr="00670ACC" w:rsidRDefault="00C33E13" w:rsidP="00670ACC">
      <w:pPr>
        <w:spacing w:line="360" w:lineRule="auto"/>
        <w:jc w:val="center"/>
        <w:rPr>
          <w:rFonts w:ascii="宋体" w:eastAsia="宋体" w:hAnsi="宋体" w:hint="eastAsia"/>
          <w:sz w:val="24"/>
        </w:rPr>
      </w:pPr>
      <w:r w:rsidRPr="00670ACC">
        <w:rPr>
          <w:rFonts w:ascii="宋体" w:eastAsia="宋体" w:hAnsi="宋体" w:hint="eastAsia"/>
          <w:sz w:val="24"/>
        </w:rPr>
        <w:t>港股代码：09969                                港股简称：诺诚健华</w:t>
      </w:r>
      <w:r w:rsidRPr="00670ACC">
        <w:rPr>
          <w:rFonts w:ascii="宋体" w:eastAsia="宋体" w:hAnsi="宋体"/>
          <w:sz w:val="24"/>
        </w:rPr>
        <w:t xml:space="preserve">        </w:t>
      </w:r>
    </w:p>
    <w:p w14:paraId="54E51918" w14:textId="77777777" w:rsidR="00C33E13" w:rsidRPr="00C33E13" w:rsidRDefault="00C33E13" w:rsidP="000A5483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</w:p>
    <w:p w14:paraId="18B2ED2C" w14:textId="4C1236A9" w:rsidR="000A5483" w:rsidRPr="00C33E13" w:rsidRDefault="001A165A" w:rsidP="000A5483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  <w:r w:rsidRPr="00C33E13">
        <w:rPr>
          <w:rFonts w:ascii="宋体" w:eastAsia="宋体" w:hAnsi="宋体" w:hint="eastAsia"/>
          <w:b/>
          <w:sz w:val="32"/>
        </w:rPr>
        <w:t>诺诚健华医药有限公司</w:t>
      </w:r>
    </w:p>
    <w:p w14:paraId="234176AB" w14:textId="77777777" w:rsidR="000A5483" w:rsidRPr="00C33E13" w:rsidRDefault="000A5483" w:rsidP="000A5483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  <w:r w:rsidRPr="00C33E13">
        <w:rPr>
          <w:rFonts w:ascii="宋体" w:eastAsia="宋体" w:hAnsi="宋体" w:hint="eastAsia"/>
          <w:b/>
          <w:sz w:val="32"/>
        </w:rPr>
        <w:t>投资者关系活动记录表</w:t>
      </w:r>
    </w:p>
    <w:p w14:paraId="2172551D" w14:textId="2C1DE11E" w:rsidR="000A5483" w:rsidRPr="00C33E13" w:rsidRDefault="000A5483" w:rsidP="000A5483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  <w:r w:rsidRPr="00C33E13">
        <w:rPr>
          <w:rFonts w:ascii="宋体" w:eastAsia="宋体" w:hAnsi="宋体" w:hint="eastAsia"/>
          <w:b/>
          <w:sz w:val="32"/>
        </w:rPr>
        <w:t>（</w:t>
      </w:r>
      <w:r w:rsidR="00587532" w:rsidRPr="00587532">
        <w:rPr>
          <w:rFonts w:ascii="宋体" w:eastAsia="宋体" w:hAnsi="宋体" w:hint="eastAsia"/>
          <w:b/>
          <w:sz w:val="32"/>
        </w:rPr>
        <w:t>2025年10月9日-2025年10月16日</w:t>
      </w:r>
      <w:r w:rsidRPr="00C33E13">
        <w:rPr>
          <w:rFonts w:ascii="宋体" w:eastAsia="宋体" w:hAnsi="宋体"/>
          <w:b/>
          <w:sz w:val="32"/>
        </w:rPr>
        <w:t>）</w:t>
      </w:r>
    </w:p>
    <w:p w14:paraId="3A380EF4" w14:textId="5FF4C40E" w:rsidR="00EB7097" w:rsidRPr="00C33E13" w:rsidRDefault="00EB7097" w:rsidP="000A5483">
      <w:pPr>
        <w:spacing w:line="360" w:lineRule="auto"/>
        <w:rPr>
          <w:rFonts w:ascii="宋体" w:eastAsia="宋体" w:hAnsi="宋体" w:hint="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0A5483" w:rsidRPr="00C33E13" w14:paraId="4D2EF966" w14:textId="77777777" w:rsidTr="00A30979">
        <w:tc>
          <w:tcPr>
            <w:tcW w:w="1555" w:type="dxa"/>
            <w:vAlign w:val="center"/>
          </w:tcPr>
          <w:p w14:paraId="13A2832E" w14:textId="77777777" w:rsidR="000A5483" w:rsidRPr="00C33E13" w:rsidRDefault="000A5483" w:rsidP="006312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5C8F3BB3" w14:textId="313AE943" w:rsidR="000A5483" w:rsidRPr="00C33E13" w:rsidRDefault="00E97FC4" w:rsidP="000A548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MS Gothic" w:eastAsia="MS Gothic" w:hAnsi="MS Gothic" w:cs="MS Gothic" w:hint="eastAsia"/>
                <w:sz w:val="24"/>
              </w:rPr>
              <w:t>✔</w:t>
            </w:r>
            <w:r w:rsidR="000A5483" w:rsidRPr="00C33E13">
              <w:rPr>
                <w:rFonts w:ascii="宋体" w:eastAsia="宋体" w:hAnsi="宋体"/>
                <w:sz w:val="24"/>
              </w:rPr>
              <w:t>特定对象调研</w:t>
            </w:r>
            <w:r w:rsidR="00E55D12">
              <w:rPr>
                <w:rFonts w:ascii="宋体" w:eastAsia="宋体" w:hAnsi="宋体" w:hint="eastAsia"/>
                <w:sz w:val="24"/>
              </w:rPr>
              <w:t xml:space="preserve">    </w:t>
            </w:r>
            <w:r w:rsidR="000A5483" w:rsidRPr="00C33E13">
              <w:rPr>
                <w:rFonts w:ascii="宋体" w:eastAsia="宋体" w:hAnsi="宋体"/>
                <w:sz w:val="24"/>
              </w:rPr>
              <w:t>□分析师会议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</w:r>
            <w:r w:rsidR="00E55D12">
              <w:rPr>
                <w:rFonts w:ascii="宋体" w:eastAsia="宋体" w:hAnsi="宋体" w:hint="eastAsia"/>
                <w:sz w:val="24"/>
              </w:rPr>
              <w:t xml:space="preserve"> </w:t>
            </w:r>
            <w:r w:rsidR="000A5483" w:rsidRPr="00C33E13">
              <w:rPr>
                <w:rFonts w:ascii="宋体" w:eastAsia="宋体" w:hAnsi="宋体"/>
                <w:sz w:val="24"/>
              </w:rPr>
              <w:t>□媒体采访</w:t>
            </w:r>
          </w:p>
          <w:p w14:paraId="7DF22082" w14:textId="6356A623" w:rsidR="000A5483" w:rsidRPr="00C33E13" w:rsidRDefault="008956E5" w:rsidP="000A548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MS Gothic" w:eastAsia="MS Gothic" w:hAnsi="MS Gothic" w:cs="MS Gothic" w:hint="eastAsia"/>
                <w:sz w:val="24"/>
              </w:rPr>
              <w:t>✔</w:t>
            </w:r>
            <w:r w:rsidR="000A5483" w:rsidRPr="00C33E13">
              <w:rPr>
                <w:rFonts w:ascii="宋体" w:eastAsia="宋体" w:hAnsi="宋体" w:hint="eastAsia"/>
                <w:sz w:val="24"/>
              </w:rPr>
              <w:t>业绩说明会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</w:r>
            <w:r w:rsidR="00E55D12">
              <w:rPr>
                <w:rFonts w:ascii="宋体" w:eastAsia="宋体" w:hAnsi="宋体" w:hint="eastAsia"/>
                <w:sz w:val="24"/>
              </w:rPr>
              <w:t xml:space="preserve">    </w:t>
            </w:r>
            <w:r w:rsidR="000A5483" w:rsidRPr="00C33E13">
              <w:rPr>
                <w:rFonts w:ascii="宋体" w:eastAsia="宋体" w:hAnsi="宋体"/>
                <w:sz w:val="24"/>
              </w:rPr>
              <w:t>□新闻发布会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</w:r>
            <w:r w:rsidR="00E55D12">
              <w:rPr>
                <w:rFonts w:ascii="宋体" w:eastAsia="宋体" w:hAnsi="宋体" w:hint="eastAsia"/>
                <w:sz w:val="24"/>
              </w:rPr>
              <w:t xml:space="preserve"> </w:t>
            </w:r>
            <w:r w:rsidR="000A5483" w:rsidRPr="00C33E13">
              <w:rPr>
                <w:rFonts w:ascii="宋体" w:eastAsia="宋体" w:hAnsi="宋体"/>
                <w:sz w:val="24"/>
              </w:rPr>
              <w:t>□路演活动</w:t>
            </w:r>
          </w:p>
          <w:p w14:paraId="4CD61D4D" w14:textId="3C136C08" w:rsidR="000A5483" w:rsidRPr="00C33E13" w:rsidRDefault="005302C6" w:rsidP="000A548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□</w:t>
            </w:r>
            <w:r w:rsidR="000A5483" w:rsidRPr="00C33E13">
              <w:rPr>
                <w:rFonts w:ascii="宋体" w:eastAsia="宋体" w:hAnsi="宋体" w:hint="eastAsia"/>
                <w:sz w:val="24"/>
              </w:rPr>
              <w:t>现场参观</w:t>
            </w:r>
            <w:r w:rsidRPr="00C33E13">
              <w:rPr>
                <w:rFonts w:ascii="宋体" w:eastAsia="宋体" w:hAnsi="宋体" w:hint="eastAsia"/>
                <w:sz w:val="24"/>
              </w:rPr>
              <w:t xml:space="preserve"> 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</w:r>
            <w:r w:rsidR="00E55D12">
              <w:rPr>
                <w:rFonts w:ascii="宋体" w:eastAsia="宋体" w:hAnsi="宋体" w:hint="eastAsia"/>
                <w:sz w:val="24"/>
              </w:rPr>
              <w:t xml:space="preserve">    </w:t>
            </w:r>
            <w:r w:rsidR="00587532" w:rsidRPr="00C33E13">
              <w:rPr>
                <w:rFonts w:ascii="MS Gothic" w:eastAsia="MS Gothic" w:hAnsi="MS Gothic" w:cs="MS Gothic" w:hint="eastAsia"/>
                <w:sz w:val="24"/>
              </w:rPr>
              <w:t>✔</w:t>
            </w:r>
            <w:r w:rsidR="000A5483" w:rsidRPr="00C33E13">
              <w:rPr>
                <w:rFonts w:ascii="宋体" w:eastAsia="宋体" w:hAnsi="宋体"/>
                <w:sz w:val="24"/>
              </w:rPr>
              <w:t>其他（</w:t>
            </w:r>
            <w:r w:rsidR="00587532">
              <w:rPr>
                <w:rFonts w:ascii="宋体" w:eastAsia="宋体" w:hAnsi="宋体" w:hint="eastAsia"/>
                <w:sz w:val="24"/>
              </w:rPr>
              <w:t>投资者通讯方式咨询</w:t>
            </w:r>
            <w:r w:rsidR="000A5483" w:rsidRPr="00C33E13">
              <w:rPr>
                <w:rFonts w:ascii="宋体" w:eastAsia="宋体" w:hAnsi="宋体"/>
                <w:sz w:val="24"/>
              </w:rPr>
              <w:t>）</w:t>
            </w:r>
          </w:p>
        </w:tc>
      </w:tr>
      <w:tr w:rsidR="000A5483" w:rsidRPr="00C33E13" w14:paraId="46078159" w14:textId="77777777" w:rsidTr="00A30979">
        <w:tc>
          <w:tcPr>
            <w:tcW w:w="1555" w:type="dxa"/>
            <w:vAlign w:val="center"/>
          </w:tcPr>
          <w:p w14:paraId="1E22A383" w14:textId="77777777" w:rsidR="00C93AD4" w:rsidRPr="00C33E13" w:rsidRDefault="000A5483" w:rsidP="006312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参与单位</w:t>
            </w:r>
          </w:p>
          <w:p w14:paraId="31E789D2" w14:textId="77777777" w:rsidR="000A5483" w:rsidRPr="00C33E13" w:rsidRDefault="000A5483" w:rsidP="006312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名称</w:t>
            </w:r>
          </w:p>
        </w:tc>
        <w:tc>
          <w:tcPr>
            <w:tcW w:w="6741" w:type="dxa"/>
            <w:vAlign w:val="center"/>
          </w:tcPr>
          <w:p w14:paraId="6559EDDF" w14:textId="25099644" w:rsidR="009129ED" w:rsidRPr="00C33E13" w:rsidRDefault="00EE683E" w:rsidP="00FC656F">
            <w:pPr>
              <w:snapToGrid w:val="0"/>
              <w:spacing w:line="240" w:lineRule="atLeas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参与</w:t>
            </w:r>
            <w:r w:rsidR="00587532">
              <w:rPr>
                <w:rFonts w:ascii="宋体" w:eastAsia="宋体" w:hAnsi="宋体" w:hint="eastAsia"/>
                <w:sz w:val="24"/>
              </w:rPr>
              <w:t>公司近期业务进展交流会</w:t>
            </w:r>
            <w:r w:rsidR="00E97FC4">
              <w:rPr>
                <w:rFonts w:ascii="宋体" w:eastAsia="宋体" w:hAnsi="宋体" w:hint="eastAsia"/>
                <w:sz w:val="24"/>
              </w:rPr>
              <w:t>与调研会议</w:t>
            </w:r>
            <w:r w:rsidR="00587532">
              <w:rPr>
                <w:rFonts w:ascii="宋体" w:eastAsia="宋体" w:hAnsi="宋体" w:hint="eastAsia"/>
                <w:sz w:val="24"/>
              </w:rPr>
              <w:t>、</w:t>
            </w:r>
            <w:r w:rsidR="00E97FC4">
              <w:rPr>
                <w:rFonts w:ascii="宋体" w:eastAsia="宋体" w:hAnsi="宋体" w:hint="eastAsia"/>
                <w:sz w:val="24"/>
              </w:rPr>
              <w:t>通过通讯方式咨询的投资者</w:t>
            </w:r>
          </w:p>
        </w:tc>
      </w:tr>
      <w:tr w:rsidR="000A5483" w:rsidRPr="00C33E13" w14:paraId="1E5D6765" w14:textId="77777777" w:rsidTr="002E5932">
        <w:trPr>
          <w:trHeight w:val="754"/>
        </w:trPr>
        <w:tc>
          <w:tcPr>
            <w:tcW w:w="1555" w:type="dxa"/>
            <w:vAlign w:val="center"/>
          </w:tcPr>
          <w:p w14:paraId="28FA109F" w14:textId="77777777" w:rsidR="000A5483" w:rsidRPr="00C33E13" w:rsidRDefault="000A5483" w:rsidP="006312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1C5C5CB6" w14:textId="276DD32C" w:rsidR="000A5483" w:rsidRPr="00C33E13" w:rsidRDefault="0027181C" w:rsidP="00A5108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20</w:t>
            </w:r>
            <w:r w:rsidR="00881792" w:rsidRPr="00C33E13">
              <w:rPr>
                <w:rFonts w:ascii="宋体" w:eastAsia="宋体" w:hAnsi="宋体"/>
                <w:sz w:val="24"/>
              </w:rPr>
              <w:t>2</w:t>
            </w:r>
            <w:r w:rsidR="005A53A1" w:rsidRPr="00C33E13">
              <w:rPr>
                <w:rFonts w:ascii="宋体" w:eastAsia="宋体" w:hAnsi="宋体" w:hint="eastAsia"/>
                <w:sz w:val="24"/>
              </w:rPr>
              <w:t>5</w:t>
            </w:r>
            <w:r w:rsidRPr="00C33E13">
              <w:rPr>
                <w:rFonts w:ascii="宋体" w:eastAsia="宋体" w:hAnsi="宋体" w:hint="eastAsia"/>
                <w:sz w:val="24"/>
              </w:rPr>
              <w:t>年</w:t>
            </w:r>
            <w:r w:rsidR="001B1684">
              <w:rPr>
                <w:rFonts w:ascii="宋体" w:eastAsia="宋体" w:hAnsi="宋体" w:hint="eastAsia"/>
                <w:sz w:val="24"/>
              </w:rPr>
              <w:t>10</w:t>
            </w:r>
            <w:r w:rsidRPr="00C33E13">
              <w:rPr>
                <w:rFonts w:ascii="宋体" w:eastAsia="宋体" w:hAnsi="宋体" w:hint="eastAsia"/>
                <w:sz w:val="24"/>
              </w:rPr>
              <w:t>月</w:t>
            </w:r>
            <w:r w:rsidR="001B1684">
              <w:rPr>
                <w:rFonts w:ascii="宋体" w:eastAsia="宋体" w:hAnsi="宋体" w:hint="eastAsia"/>
                <w:sz w:val="24"/>
              </w:rPr>
              <w:t>9</w:t>
            </w:r>
            <w:r w:rsidR="00881792" w:rsidRPr="00C33E13">
              <w:rPr>
                <w:rFonts w:ascii="宋体" w:eastAsia="宋体" w:hAnsi="宋体" w:hint="eastAsia"/>
                <w:sz w:val="24"/>
              </w:rPr>
              <w:t>日</w:t>
            </w:r>
            <w:r w:rsidR="00E97FC4">
              <w:rPr>
                <w:rFonts w:ascii="宋体" w:eastAsia="宋体" w:hAnsi="宋体" w:hint="eastAsia"/>
                <w:sz w:val="24"/>
              </w:rPr>
              <w:t>至</w:t>
            </w:r>
            <w:r w:rsidR="00E97FC4" w:rsidRPr="00E97FC4">
              <w:rPr>
                <w:rFonts w:ascii="宋体" w:eastAsia="宋体" w:hAnsi="宋体" w:hint="eastAsia"/>
                <w:sz w:val="24"/>
              </w:rPr>
              <w:t>2025年10月16日</w:t>
            </w:r>
          </w:p>
        </w:tc>
      </w:tr>
      <w:tr w:rsidR="000A5483" w:rsidRPr="00C33E13" w14:paraId="10CE7C71" w14:textId="77777777" w:rsidTr="002E5932">
        <w:trPr>
          <w:trHeight w:val="706"/>
        </w:trPr>
        <w:tc>
          <w:tcPr>
            <w:tcW w:w="1555" w:type="dxa"/>
            <w:vAlign w:val="center"/>
          </w:tcPr>
          <w:p w14:paraId="005446CA" w14:textId="77777777" w:rsidR="000A5483" w:rsidRPr="00C33E13" w:rsidRDefault="000A5483" w:rsidP="006312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地点</w:t>
            </w:r>
          </w:p>
        </w:tc>
        <w:tc>
          <w:tcPr>
            <w:tcW w:w="6741" w:type="dxa"/>
            <w:vAlign w:val="center"/>
          </w:tcPr>
          <w:p w14:paraId="3C2C7698" w14:textId="41B0B3A3" w:rsidR="0032355A" w:rsidRPr="00C33E13" w:rsidRDefault="00094ED1" w:rsidP="00532FFF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通讯方式</w:t>
            </w:r>
          </w:p>
        </w:tc>
      </w:tr>
      <w:tr w:rsidR="000A5483" w:rsidRPr="00C33E13" w14:paraId="42CA5398" w14:textId="77777777" w:rsidTr="002E5932">
        <w:trPr>
          <w:trHeight w:val="985"/>
        </w:trPr>
        <w:tc>
          <w:tcPr>
            <w:tcW w:w="1555" w:type="dxa"/>
            <w:vAlign w:val="center"/>
          </w:tcPr>
          <w:p w14:paraId="5C88A708" w14:textId="0F5D9BCB" w:rsidR="000A5483" w:rsidRPr="00C33E13" w:rsidRDefault="00F52CD2" w:rsidP="008956E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公司接待人员</w:t>
            </w:r>
            <w:r w:rsidR="000A5483" w:rsidRPr="00C33E13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6741" w:type="dxa"/>
            <w:vAlign w:val="center"/>
          </w:tcPr>
          <w:p w14:paraId="7A8D03AA" w14:textId="6C3F69B7" w:rsidR="00066291" w:rsidRPr="00C33E13" w:rsidRDefault="000F3AEA" w:rsidP="00532FF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董事会主席兼行政总裁</w:t>
            </w:r>
            <w:r w:rsidR="00BA6BA6" w:rsidRPr="00C33E13">
              <w:rPr>
                <w:rFonts w:ascii="宋体" w:eastAsia="宋体" w:hAnsi="宋体" w:hint="eastAsia"/>
                <w:sz w:val="24"/>
              </w:rPr>
              <w:t>：</w:t>
            </w:r>
            <w:r w:rsidRPr="00C33E13">
              <w:rPr>
                <w:rFonts w:ascii="宋体" w:eastAsia="宋体" w:hAnsi="宋体"/>
                <w:sz w:val="24"/>
              </w:rPr>
              <w:t>Jisong Cui（崔霁松）</w:t>
            </w:r>
            <w:r w:rsidRPr="00C33E13">
              <w:rPr>
                <w:rFonts w:ascii="宋体" w:eastAsia="宋体" w:hAnsi="宋体" w:hint="eastAsia"/>
                <w:sz w:val="24"/>
              </w:rPr>
              <w:t>博士</w:t>
            </w:r>
          </w:p>
          <w:p w14:paraId="0493B629" w14:textId="693C35C6" w:rsidR="005A53A1" w:rsidRPr="00C33E13" w:rsidRDefault="005A53A1" w:rsidP="00532FF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首席财务官：傅欣先生</w:t>
            </w:r>
          </w:p>
          <w:p w14:paraId="2DC15873" w14:textId="77777777" w:rsidR="000F3AEA" w:rsidRDefault="000F3AEA" w:rsidP="00532FF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信息披露境内代表：袁蓓女士</w:t>
            </w:r>
          </w:p>
          <w:p w14:paraId="56096DE8" w14:textId="21C9E447" w:rsidR="00587532" w:rsidRPr="00C33E13" w:rsidRDefault="00587532" w:rsidP="00532FF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投资者关系团队</w:t>
            </w:r>
          </w:p>
        </w:tc>
      </w:tr>
      <w:tr w:rsidR="000A5483" w:rsidRPr="00C33E13" w14:paraId="66C7AF52" w14:textId="77777777" w:rsidTr="00A30979">
        <w:tc>
          <w:tcPr>
            <w:tcW w:w="1555" w:type="dxa"/>
            <w:vAlign w:val="center"/>
          </w:tcPr>
          <w:p w14:paraId="66F5C0CA" w14:textId="77777777" w:rsidR="000A5483" w:rsidRPr="00C33E13" w:rsidRDefault="000A5483" w:rsidP="005A53A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4EAD4CF2" w14:textId="3ACA407F" w:rsidR="00D32A08" w:rsidRPr="00C33E13" w:rsidRDefault="006148F8" w:rsidP="00532FFF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（</w:t>
            </w:r>
            <w:r w:rsidR="005A53A1" w:rsidRPr="00C33E13">
              <w:rPr>
                <w:rFonts w:ascii="宋体" w:eastAsia="宋体" w:hAnsi="宋体" w:hint="eastAsia"/>
                <w:sz w:val="24"/>
              </w:rPr>
              <w:t>一</w:t>
            </w:r>
            <w:r w:rsidRPr="00C33E13">
              <w:rPr>
                <w:rFonts w:ascii="宋体" w:eastAsia="宋体" w:hAnsi="宋体" w:hint="eastAsia"/>
                <w:sz w:val="24"/>
              </w:rPr>
              <w:t>）</w:t>
            </w:r>
            <w:r w:rsidR="007D018D" w:rsidRPr="00C33E13">
              <w:rPr>
                <w:rFonts w:ascii="宋体" w:eastAsia="宋体" w:hAnsi="宋体" w:hint="eastAsia"/>
                <w:sz w:val="24"/>
              </w:rPr>
              <w:t>交流的主要问题及答复</w:t>
            </w:r>
          </w:p>
          <w:p w14:paraId="1E60B3CB" w14:textId="4F949166" w:rsidR="006D70B9" w:rsidRPr="000C7EB4" w:rsidRDefault="006D70B9" w:rsidP="00532FFF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问题</w:t>
            </w:r>
            <w:r w:rsidR="001B1604">
              <w:rPr>
                <w:rFonts w:ascii="宋体" w:eastAsia="宋体" w:hAnsi="宋体"/>
                <w:sz w:val="24"/>
              </w:rPr>
              <w:t>1</w:t>
            </w:r>
            <w:r w:rsidRPr="00C33E13">
              <w:rPr>
                <w:rFonts w:ascii="宋体" w:eastAsia="宋体" w:hAnsi="宋体"/>
                <w:sz w:val="24"/>
              </w:rPr>
              <w:t>：</w:t>
            </w:r>
            <w:r w:rsidR="00DF6E29" w:rsidRPr="00DF6E29">
              <w:rPr>
                <w:rFonts w:ascii="宋体" w:eastAsia="宋体" w:hAnsi="宋体"/>
                <w:sz w:val="24"/>
              </w:rPr>
              <w:t>请介绍此次合作的核心内容及意义？</w:t>
            </w:r>
          </w:p>
          <w:p w14:paraId="720974B0" w14:textId="121A5E76" w:rsidR="008A24BA" w:rsidRPr="00245A33" w:rsidRDefault="006D70B9" w:rsidP="00A607C9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答复：</w:t>
            </w:r>
            <w:r w:rsidR="00DF6E29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DF6E29" w:rsidRPr="00DF6E29">
              <w:rPr>
                <w:rFonts w:ascii="宋体" w:eastAsia="宋体" w:hAnsi="宋体" w:hint="eastAsia"/>
                <w:sz w:val="24"/>
                <w:szCs w:val="24"/>
              </w:rPr>
              <w:t>与</w:t>
            </w:r>
            <w:r w:rsidR="00DF6E29" w:rsidRPr="00DF6E29">
              <w:rPr>
                <w:rFonts w:ascii="宋体" w:eastAsia="宋体" w:hAnsi="宋体"/>
                <w:sz w:val="24"/>
                <w:szCs w:val="24"/>
              </w:rPr>
              <w:t>Zenas的合作是我们全球化布局的重要一步。通过此次</w:t>
            </w:r>
            <w:r w:rsidR="00DF6E29">
              <w:rPr>
                <w:rFonts w:ascii="宋体" w:eastAsia="宋体" w:hAnsi="宋体" w:hint="eastAsia"/>
                <w:sz w:val="24"/>
                <w:szCs w:val="24"/>
              </w:rPr>
              <w:t>合作</w:t>
            </w:r>
            <w:r w:rsidR="00DF6E29" w:rsidRPr="00DF6E29">
              <w:rPr>
                <w:rFonts w:ascii="宋体" w:eastAsia="宋体" w:hAnsi="宋体"/>
                <w:sz w:val="24"/>
                <w:szCs w:val="24"/>
              </w:rPr>
              <w:t>，我们将</w:t>
            </w:r>
            <w:r w:rsidR="00A607C9" w:rsidRPr="00A607C9">
              <w:rPr>
                <w:rFonts w:ascii="宋体" w:eastAsia="宋体" w:hAnsi="宋体" w:hint="eastAsia"/>
                <w:sz w:val="24"/>
                <w:szCs w:val="24"/>
              </w:rPr>
              <w:t>奥布替尼在多发性硬化症（</w:t>
            </w:r>
            <w:r w:rsidR="00A607C9" w:rsidRPr="00A607C9">
              <w:rPr>
                <w:rFonts w:ascii="宋体" w:eastAsia="宋体" w:hAnsi="宋体"/>
                <w:sz w:val="24"/>
                <w:szCs w:val="24"/>
              </w:rPr>
              <w:t>MS）领域的全球独家权利、奥</w:t>
            </w:r>
            <w:r w:rsidR="00A607C9" w:rsidRPr="00A607C9">
              <w:rPr>
                <w:rFonts w:ascii="宋体" w:eastAsia="宋体" w:hAnsi="宋体" w:hint="eastAsia"/>
                <w:sz w:val="24"/>
                <w:szCs w:val="24"/>
              </w:rPr>
              <w:t>布替尼在其他非多发性硬化症及非肿瘤适应症领域除大中华地区（包括中国大陆、中国香港特别行政区、中国澳门特别行政区和中国台湾地区）及东南亚地区以外区域的独家权利、以及一款临床前</w:t>
            </w:r>
            <w:r w:rsidR="00A607C9" w:rsidRPr="00A607C9">
              <w:rPr>
                <w:rFonts w:ascii="宋体" w:eastAsia="宋体" w:hAnsi="宋体"/>
                <w:sz w:val="24"/>
                <w:szCs w:val="24"/>
              </w:rPr>
              <w:t>IL-17抑制剂在除大中华地区及东南亚地区以</w:t>
            </w:r>
            <w:r w:rsidR="00A607C9" w:rsidRPr="00A607C9">
              <w:rPr>
                <w:rFonts w:ascii="宋体" w:eastAsia="宋体" w:hAnsi="宋体" w:hint="eastAsia"/>
                <w:sz w:val="24"/>
                <w:szCs w:val="24"/>
              </w:rPr>
              <w:t>外区域的独家权利和一款临床前口服透脑</w:t>
            </w:r>
            <w:r w:rsidR="00A607C9" w:rsidRPr="00A607C9">
              <w:rPr>
                <w:rFonts w:ascii="宋体" w:eastAsia="宋体" w:hAnsi="宋体"/>
                <w:sz w:val="24"/>
                <w:szCs w:val="24"/>
              </w:rPr>
              <w:t>TYK2</w:t>
            </w:r>
            <w:r w:rsidR="00A607C9" w:rsidRPr="00A607C9">
              <w:rPr>
                <w:rFonts w:ascii="宋体" w:eastAsia="宋体" w:hAnsi="宋体"/>
                <w:sz w:val="24"/>
                <w:szCs w:val="24"/>
              </w:rPr>
              <w:lastRenderedPageBreak/>
              <w:t>抑制剂的全球独家权利</w:t>
            </w:r>
            <w:r w:rsidR="00DF6E29" w:rsidRPr="00DF6E29">
              <w:rPr>
                <w:rFonts w:ascii="宋体" w:eastAsia="宋体" w:hAnsi="宋体"/>
                <w:sz w:val="24"/>
                <w:szCs w:val="24"/>
              </w:rPr>
              <w:t>授权给Zenas进行</w:t>
            </w:r>
            <w:r w:rsidR="00A607C9" w:rsidRPr="00A607C9">
              <w:rPr>
                <w:rFonts w:ascii="宋体" w:eastAsia="宋体" w:hAnsi="宋体" w:hint="eastAsia"/>
                <w:sz w:val="24"/>
                <w:szCs w:val="24"/>
              </w:rPr>
              <w:t>开发、生产、商业化</w:t>
            </w:r>
            <w:r w:rsidR="00DF6E29" w:rsidRPr="00DF6E29">
              <w:rPr>
                <w:rFonts w:ascii="宋体" w:eastAsia="宋体" w:hAnsi="宋体"/>
                <w:sz w:val="24"/>
                <w:szCs w:val="24"/>
              </w:rPr>
              <w:t>。</w:t>
            </w:r>
            <w:r w:rsidR="004678D4">
              <w:rPr>
                <w:rFonts w:ascii="宋体" w:eastAsia="宋体" w:hAnsi="宋体" w:hint="eastAsia"/>
                <w:sz w:val="24"/>
                <w:szCs w:val="24"/>
              </w:rPr>
              <w:t>公司保留奥布替尼肿瘤领域全球</w:t>
            </w:r>
            <w:r w:rsidR="00E55D12">
              <w:rPr>
                <w:rFonts w:ascii="宋体" w:eastAsia="宋体" w:hAnsi="宋体" w:hint="eastAsia"/>
                <w:sz w:val="24"/>
                <w:szCs w:val="24"/>
              </w:rPr>
              <w:t>权利</w:t>
            </w:r>
            <w:r w:rsidR="004678D4">
              <w:rPr>
                <w:rFonts w:ascii="宋体" w:eastAsia="宋体" w:hAnsi="宋体" w:hint="eastAsia"/>
                <w:sz w:val="24"/>
                <w:szCs w:val="24"/>
              </w:rPr>
              <w:t>及IL-17大中华地区及东南亚地区</w:t>
            </w:r>
            <w:r w:rsidR="00E55D12">
              <w:rPr>
                <w:rFonts w:ascii="宋体" w:eastAsia="宋体" w:hAnsi="宋体" w:hint="eastAsia"/>
                <w:sz w:val="24"/>
                <w:szCs w:val="24"/>
              </w:rPr>
              <w:t>权利</w:t>
            </w:r>
            <w:r w:rsidR="004678D4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DF6E29" w:rsidRPr="00DF6E29">
              <w:rPr>
                <w:rFonts w:ascii="宋体" w:eastAsia="宋体" w:hAnsi="宋体"/>
                <w:sz w:val="24"/>
                <w:szCs w:val="24"/>
              </w:rPr>
              <w:t>同时，</w:t>
            </w:r>
            <w:r w:rsidR="00AE1820" w:rsidRPr="00AE1820">
              <w:rPr>
                <w:rFonts w:ascii="宋体" w:eastAsia="宋体" w:hAnsi="宋体"/>
                <w:sz w:val="24"/>
                <w:szCs w:val="24"/>
              </w:rPr>
              <w:t>Zenas 将向公司支付 1 亿美元的首付款和近期里程碑付款，包括</w:t>
            </w:r>
            <w:r w:rsidR="00AE1820" w:rsidRPr="00AE1820">
              <w:rPr>
                <w:rFonts w:ascii="宋体" w:eastAsia="宋体" w:hAnsi="宋体" w:hint="eastAsia"/>
                <w:sz w:val="24"/>
                <w:szCs w:val="24"/>
              </w:rPr>
              <w:t>预计在</w:t>
            </w:r>
            <w:r w:rsidR="00AE1820" w:rsidRPr="00AE1820">
              <w:rPr>
                <w:rFonts w:ascii="宋体" w:eastAsia="宋体" w:hAnsi="宋体"/>
                <w:sz w:val="24"/>
                <w:szCs w:val="24"/>
              </w:rPr>
              <w:t>2026年实现里程碑时支付的现金，以及授予公司700万普通股股票，包</w:t>
            </w:r>
            <w:r w:rsidR="00AE1820" w:rsidRPr="00AE1820">
              <w:rPr>
                <w:rFonts w:ascii="宋体" w:eastAsia="宋体" w:hAnsi="宋体" w:hint="eastAsia"/>
                <w:sz w:val="24"/>
                <w:szCs w:val="24"/>
              </w:rPr>
              <w:t>括预计在</w:t>
            </w:r>
            <w:r w:rsidR="00AE1820" w:rsidRPr="00AE1820">
              <w:rPr>
                <w:rFonts w:ascii="宋体" w:eastAsia="宋体" w:hAnsi="宋体"/>
                <w:sz w:val="24"/>
                <w:szCs w:val="24"/>
              </w:rPr>
              <w:t>2026年初实现里程碑时发行的股票。本次交易首付款及近期里程碑付</w:t>
            </w:r>
            <w:r w:rsidR="00AE1820" w:rsidRPr="00AE1820">
              <w:rPr>
                <w:rFonts w:ascii="宋体" w:eastAsia="宋体" w:hAnsi="宋体" w:hint="eastAsia"/>
                <w:sz w:val="24"/>
                <w:szCs w:val="24"/>
              </w:rPr>
              <w:t>款，潜在的研发及注册里程碑付款，以及潜在的商业化里程碑付款总额合计超过</w:t>
            </w:r>
            <w:r w:rsidR="00AE1820" w:rsidRPr="00AE1820">
              <w:rPr>
                <w:rFonts w:ascii="宋体" w:eastAsia="宋体" w:hAnsi="宋体"/>
                <w:sz w:val="24"/>
                <w:szCs w:val="24"/>
              </w:rPr>
              <w:t>20 亿美元。此外，本公司有权按许可产品年度净销售额收取最高达高百分之十</w:t>
            </w:r>
            <w:r w:rsidR="00AE1820" w:rsidRPr="00AE1820">
              <w:rPr>
                <w:rFonts w:ascii="宋体" w:eastAsia="宋体" w:hAnsi="宋体" w:hint="eastAsia"/>
                <w:sz w:val="24"/>
                <w:szCs w:val="24"/>
              </w:rPr>
              <w:t>几的分层特许权使用费。</w:t>
            </w:r>
          </w:p>
          <w:p w14:paraId="3F3A0425" w14:textId="77777777" w:rsidR="00EE683E" w:rsidRPr="00C33E13" w:rsidRDefault="00EE683E" w:rsidP="00532FFF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  <w:p w14:paraId="50187F3B" w14:textId="5C45F002" w:rsidR="00A607C9" w:rsidRDefault="008E7708" w:rsidP="00532FFF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问题</w:t>
            </w:r>
            <w:r w:rsidR="001B1604">
              <w:rPr>
                <w:rFonts w:ascii="宋体" w:eastAsia="宋体" w:hAnsi="宋体"/>
                <w:sz w:val="24"/>
              </w:rPr>
              <w:t>2</w:t>
            </w:r>
            <w:r w:rsidRPr="00C33E13">
              <w:rPr>
                <w:rFonts w:ascii="宋体" w:eastAsia="宋体" w:hAnsi="宋体"/>
                <w:sz w:val="24"/>
              </w:rPr>
              <w:t>：</w:t>
            </w:r>
            <w:r w:rsidR="00BC63FE" w:rsidRPr="00C33E13">
              <w:rPr>
                <w:rFonts w:ascii="宋体" w:eastAsia="宋体" w:hAnsi="宋体" w:hint="eastAsia"/>
                <w:sz w:val="24"/>
              </w:rPr>
              <w:t xml:space="preserve"> </w:t>
            </w:r>
            <w:r w:rsidR="00A607C9" w:rsidRPr="00A607C9">
              <w:rPr>
                <w:rFonts w:ascii="宋体" w:eastAsia="宋体" w:hAnsi="宋体" w:hint="eastAsia"/>
                <w:sz w:val="24"/>
              </w:rPr>
              <w:t>为什么选择</w:t>
            </w:r>
            <w:r w:rsidR="00A607C9" w:rsidRPr="00A607C9">
              <w:rPr>
                <w:rFonts w:ascii="宋体" w:eastAsia="宋体" w:hAnsi="宋体"/>
                <w:sz w:val="24"/>
              </w:rPr>
              <w:t>Zenas作为合作伙伴</w:t>
            </w:r>
            <w:r w:rsidR="00A607C9">
              <w:rPr>
                <w:rFonts w:ascii="宋体" w:eastAsia="宋体" w:hAnsi="宋体" w:hint="eastAsia"/>
                <w:sz w:val="24"/>
              </w:rPr>
              <w:t>？</w:t>
            </w:r>
          </w:p>
          <w:p w14:paraId="1F704F10" w14:textId="2995F435" w:rsidR="00EA35EF" w:rsidRPr="00EA35EF" w:rsidRDefault="00BA6D49" w:rsidP="00EA35EF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答复：</w:t>
            </w:r>
            <w:r w:rsidR="00EA35EF" w:rsidRPr="00EA35EF">
              <w:rPr>
                <w:rFonts w:ascii="宋体" w:eastAsia="宋体" w:hAnsi="宋体" w:hint="eastAsia"/>
                <w:sz w:val="24"/>
              </w:rPr>
              <w:t>我们选择</w:t>
            </w:r>
            <w:r w:rsidR="00EA35EF" w:rsidRPr="00EA35EF">
              <w:rPr>
                <w:rFonts w:ascii="宋体" w:eastAsia="宋体" w:hAnsi="宋体"/>
                <w:sz w:val="24"/>
              </w:rPr>
              <w:t>Zenas作为全球合作伙伴，主要基于其在自身免疫疾病领域的深厚积累和执行能力。Zenas创始团队来自礼来（Eli Lilly）、百时美施贵宝（BMS）和渤健（Biogen）等全球领先制药企业，具备丰富的新药开发与全球注册经验。公司在临床运营、项目管理和跨区域监管申报方面</w:t>
            </w:r>
            <w:r w:rsidR="00443859" w:rsidRPr="00443859">
              <w:rPr>
                <w:rFonts w:ascii="宋体" w:eastAsia="宋体" w:hAnsi="宋体"/>
                <w:sz w:val="24"/>
              </w:rPr>
              <w:t>展现出强大的执行力</w:t>
            </w:r>
            <w:r w:rsidR="00EA35EF" w:rsidRPr="00EA35EF">
              <w:rPr>
                <w:rFonts w:ascii="宋体" w:eastAsia="宋体" w:hAnsi="宋体"/>
                <w:sz w:val="24"/>
              </w:rPr>
              <w:t>，多个项目在美国和欧洲均取得了高效推进。</w:t>
            </w:r>
            <w:r w:rsidR="00EA35EF" w:rsidRPr="00EA35EF">
              <w:rPr>
                <w:rFonts w:ascii="宋体" w:eastAsia="宋体" w:hAnsi="宋体" w:hint="eastAsia"/>
                <w:sz w:val="24"/>
              </w:rPr>
              <w:t>此外，</w:t>
            </w:r>
            <w:r w:rsidR="00EA35EF" w:rsidRPr="00EA35EF">
              <w:rPr>
                <w:rFonts w:ascii="宋体" w:eastAsia="宋体" w:hAnsi="宋体"/>
                <w:sz w:val="24"/>
              </w:rPr>
              <w:t>Zenas拥有完整的全球临床开发体系和高效的决策机制，这对我们产品的海外开发进度至关重要。自项目引进后，Zenas将该项目列为其最高优先级之一，已投入一支经验丰富的跨国团队推动临床试验启动。我们相信，凭借Zenas强大的全球资源整合能力与执行速度，合作项目能在国际上加速推进，最大化创新药的临床与商业价值。</w:t>
            </w:r>
          </w:p>
          <w:p w14:paraId="426334E1" w14:textId="77777777" w:rsidR="00A607C9" w:rsidRDefault="00A607C9" w:rsidP="00532FFF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  <w:p w14:paraId="29D3E193" w14:textId="37364662" w:rsidR="00BA6D49" w:rsidRDefault="00BA6D49" w:rsidP="00532FFF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问题</w:t>
            </w:r>
            <w:r>
              <w:rPr>
                <w:rFonts w:ascii="宋体" w:eastAsia="宋体" w:hAnsi="宋体"/>
                <w:sz w:val="24"/>
              </w:rPr>
              <w:t>3</w:t>
            </w:r>
            <w:r w:rsidRPr="00C33E13">
              <w:rPr>
                <w:rFonts w:ascii="宋体" w:eastAsia="宋体" w:hAnsi="宋体"/>
                <w:sz w:val="24"/>
              </w:rPr>
              <w:t>：</w:t>
            </w:r>
            <w:r w:rsidRPr="00BA6D49">
              <w:rPr>
                <w:rFonts w:ascii="宋体" w:eastAsia="宋体" w:hAnsi="宋体"/>
                <w:sz w:val="24"/>
              </w:rPr>
              <w:t>此次交易对公司财务的影响如何？</w:t>
            </w:r>
          </w:p>
          <w:p w14:paraId="5710F8CB" w14:textId="5C5B805D" w:rsidR="00F13475" w:rsidRPr="00F13475" w:rsidRDefault="00F13475" w:rsidP="00F13475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答复：</w:t>
            </w:r>
            <w:r w:rsidRPr="00F13475">
              <w:rPr>
                <w:rFonts w:ascii="宋体" w:eastAsia="宋体" w:hAnsi="宋体" w:hint="eastAsia"/>
                <w:sz w:val="24"/>
                <w:szCs w:val="24"/>
              </w:rPr>
              <w:t>此次合作协议在签署当日即生效，公司已根据协议条款收到首笔现金首付款，同时</w:t>
            </w:r>
            <w:r w:rsidRPr="00F13475">
              <w:rPr>
                <w:rFonts w:ascii="宋体" w:eastAsia="宋体" w:hAnsi="宋体"/>
                <w:sz w:val="24"/>
                <w:szCs w:val="24"/>
              </w:rPr>
              <w:t>Zenas已向诺诚健华发行了500万股普通股。该交易为公司带来了实质性的即期财务收益，并进一步增强了公司的现金储备与资产结构。</w:t>
            </w:r>
          </w:p>
          <w:p w14:paraId="224DE4EF" w14:textId="45AD9DAE" w:rsidR="00EE683E" w:rsidRDefault="00F13475" w:rsidP="00532FF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F13475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此外，随着项目在后续临床开发、注册及商业化阶段的推进，公司有望分阶段获得可观的开发及商业化里程碑付款，为公司带来可持续的现金流与长期收益。此次合作将有助于最大化奥布替尼在全球范围内的临床与商业价值，使产品能够更快惠及全球患者，也充分体现了公司创新资产的国际竞争力与长期商业潜力。</w:t>
            </w:r>
          </w:p>
          <w:p w14:paraId="46DDB43F" w14:textId="77777777" w:rsidR="00506BF8" w:rsidRPr="00C33E13" w:rsidRDefault="00506BF8" w:rsidP="00532FFF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  <w:p w14:paraId="3FC19B4E" w14:textId="3086FDEB" w:rsidR="000E15D5" w:rsidRPr="00C33E13" w:rsidRDefault="000E15D5" w:rsidP="00532FFF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问题</w:t>
            </w:r>
            <w:r w:rsidR="00F13475">
              <w:rPr>
                <w:rFonts w:ascii="宋体" w:eastAsia="宋体" w:hAnsi="宋体" w:hint="eastAsia"/>
                <w:sz w:val="24"/>
              </w:rPr>
              <w:t>4</w:t>
            </w:r>
            <w:r w:rsidRPr="00C33E13">
              <w:rPr>
                <w:rFonts w:ascii="宋体" w:eastAsia="宋体" w:hAnsi="宋体"/>
                <w:sz w:val="24"/>
              </w:rPr>
              <w:t>：</w:t>
            </w:r>
            <w:r w:rsidR="00E80E2C" w:rsidRPr="00E80E2C">
              <w:rPr>
                <w:rFonts w:ascii="宋体" w:eastAsia="宋体" w:hAnsi="宋体" w:hint="eastAsia"/>
                <w:sz w:val="24"/>
              </w:rPr>
              <w:t>公司</w:t>
            </w:r>
            <w:r w:rsidR="002E765C">
              <w:rPr>
                <w:rFonts w:ascii="宋体" w:eastAsia="宋体" w:hAnsi="宋体" w:hint="eastAsia"/>
                <w:sz w:val="24"/>
              </w:rPr>
              <w:t>奥布替尼其他自免适应症后续将如何开展</w:t>
            </w:r>
            <w:r w:rsidR="00E80E2C" w:rsidRPr="00E80E2C">
              <w:rPr>
                <w:rFonts w:ascii="宋体" w:eastAsia="宋体" w:hAnsi="宋体" w:hint="eastAsia"/>
                <w:sz w:val="24"/>
              </w:rPr>
              <w:t>？</w:t>
            </w:r>
          </w:p>
          <w:p w14:paraId="4E1596EC" w14:textId="750DBB45" w:rsidR="0003779F" w:rsidRDefault="000E15D5" w:rsidP="002E765C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答复：</w:t>
            </w:r>
            <w:r w:rsidR="002E765C">
              <w:rPr>
                <w:rFonts w:ascii="宋体" w:eastAsia="宋体" w:hAnsi="宋体" w:hint="eastAsia"/>
                <w:sz w:val="24"/>
              </w:rPr>
              <w:t>本次交易达成后，公司保留了</w:t>
            </w:r>
            <w:r w:rsidR="002E765C" w:rsidRPr="002E765C">
              <w:rPr>
                <w:rFonts w:ascii="宋体" w:eastAsia="宋体" w:hAnsi="宋体" w:hint="eastAsia"/>
                <w:sz w:val="24"/>
              </w:rPr>
              <w:t>奥布替尼在其他非多发性硬化症领域</w:t>
            </w:r>
            <w:r w:rsidR="002E765C">
              <w:rPr>
                <w:rFonts w:ascii="宋体" w:eastAsia="宋体" w:hAnsi="宋体" w:hint="eastAsia"/>
                <w:sz w:val="24"/>
              </w:rPr>
              <w:t>在</w:t>
            </w:r>
            <w:r w:rsidR="002E765C" w:rsidRPr="002E765C">
              <w:rPr>
                <w:rFonts w:ascii="宋体" w:eastAsia="宋体" w:hAnsi="宋体" w:hint="eastAsia"/>
                <w:sz w:val="24"/>
              </w:rPr>
              <w:t>大中华地区及东南亚地区的权利</w:t>
            </w:r>
            <w:r w:rsidR="002E765C">
              <w:rPr>
                <w:rFonts w:ascii="宋体" w:eastAsia="宋体" w:hAnsi="宋体" w:hint="eastAsia"/>
                <w:sz w:val="24"/>
              </w:rPr>
              <w:t>。</w:t>
            </w:r>
            <w:r w:rsidR="004715C3">
              <w:rPr>
                <w:rFonts w:ascii="宋体" w:eastAsia="宋体" w:hAnsi="宋体" w:hint="eastAsia"/>
                <w:sz w:val="24"/>
              </w:rPr>
              <w:t>对于上述地区，</w:t>
            </w:r>
            <w:r w:rsidR="006E6047" w:rsidRPr="00D06C1D"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奥布替尼治疗ITP在中国的注册性III期临床试验已经完成患者入组，并计划于2026年上半年提交新药申请</w:t>
            </w:r>
            <w:r w:rsidR="006E6047"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，奥布替尼治疗SLE</w:t>
            </w:r>
            <w:r w:rsidR="006E6047" w:rsidRPr="00D06C1D"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在中国进行的IIb期试验已于2024年10月完成患者入组，IIb 期试验的完整数据预计将于2025年第四季度读出。奥布替尼已展现成为治疗SLE患者的同类首创BTK抑制剂的巨大潜力。</w:t>
            </w:r>
            <w:r w:rsidR="00860A6B"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后续公司也将与合作方沟通其他自免适应症在</w:t>
            </w:r>
            <w:r w:rsidR="00860A6B" w:rsidRPr="002E765C">
              <w:rPr>
                <w:rFonts w:ascii="宋体" w:eastAsia="宋体" w:hAnsi="宋体" w:hint="eastAsia"/>
                <w:sz w:val="24"/>
              </w:rPr>
              <w:t>大中华地区及东南亚地区</w:t>
            </w:r>
            <w:r w:rsidR="00860A6B">
              <w:rPr>
                <w:rFonts w:ascii="宋体" w:eastAsia="宋体" w:hAnsi="宋体" w:hint="eastAsia"/>
                <w:sz w:val="24"/>
              </w:rPr>
              <w:t>以外的开展计划。</w:t>
            </w:r>
          </w:p>
          <w:p w14:paraId="33375475" w14:textId="77777777" w:rsidR="006F28A2" w:rsidRDefault="006F28A2" w:rsidP="00506BF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  <w:p w14:paraId="7C186D82" w14:textId="639B7D3B" w:rsidR="006F28A2" w:rsidRPr="00C33E13" w:rsidRDefault="006F28A2" w:rsidP="006F28A2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问题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C33E13">
              <w:rPr>
                <w:rFonts w:ascii="宋体" w:eastAsia="宋体" w:hAnsi="宋体"/>
                <w:sz w:val="24"/>
              </w:rPr>
              <w:t>：</w:t>
            </w:r>
            <w:r>
              <w:rPr>
                <w:rFonts w:ascii="宋体" w:eastAsia="宋体" w:hAnsi="宋体" w:hint="eastAsia"/>
                <w:sz w:val="24"/>
              </w:rPr>
              <w:t>请问公司本次交易中TYK2管线与现有TYK2管线的区别？</w:t>
            </w:r>
          </w:p>
          <w:p w14:paraId="502E17E0" w14:textId="1DDEE4C7" w:rsidR="006F28A2" w:rsidRPr="00E249E8" w:rsidRDefault="006F28A2" w:rsidP="006F28A2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答复：</w:t>
            </w:r>
            <w:r>
              <w:rPr>
                <w:rFonts w:ascii="宋体" w:eastAsia="宋体" w:hAnsi="宋体" w:hint="eastAsia"/>
                <w:sz w:val="24"/>
              </w:rPr>
              <w:t>公司本次交易中的TYK2管线</w:t>
            </w:r>
            <w:r w:rsidR="008B2F75">
              <w:rPr>
                <w:rFonts w:ascii="宋体" w:eastAsia="宋体" w:hAnsi="宋体" w:hint="eastAsia"/>
                <w:sz w:val="24"/>
              </w:rPr>
              <w:t>为</w:t>
            </w:r>
            <w:r w:rsidR="00A31ACB">
              <w:rPr>
                <w:rFonts w:ascii="宋体" w:eastAsia="宋体" w:hAnsi="宋体" w:hint="eastAsia"/>
                <w:sz w:val="24"/>
              </w:rPr>
              <w:t>临床前资产，</w:t>
            </w:r>
            <w:r w:rsidR="006D07D8">
              <w:rPr>
                <w:rFonts w:ascii="宋体" w:eastAsia="宋体" w:hAnsi="宋体" w:hint="eastAsia"/>
                <w:sz w:val="24"/>
              </w:rPr>
              <w:t>处在pre GLP Tox阶段，具有</w:t>
            </w:r>
            <w:r>
              <w:rPr>
                <w:rFonts w:ascii="宋体" w:eastAsia="宋体" w:hAnsi="宋体" w:hint="eastAsia"/>
                <w:sz w:val="24"/>
              </w:rPr>
              <w:t>穿透血脑屏障能力。</w:t>
            </w:r>
          </w:p>
          <w:p w14:paraId="775F080D" w14:textId="77777777" w:rsidR="00EE683E" w:rsidRPr="00C33E13" w:rsidRDefault="00EE683E" w:rsidP="00612507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  <w:p w14:paraId="55028C22" w14:textId="57B30781" w:rsidR="00E40D08" w:rsidRPr="00C33E13" w:rsidRDefault="00E40D08" w:rsidP="00532FFF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问题</w:t>
            </w:r>
            <w:r w:rsidR="00D23525">
              <w:rPr>
                <w:rFonts w:ascii="宋体" w:eastAsia="宋体" w:hAnsi="宋体" w:hint="eastAsia"/>
                <w:sz w:val="24"/>
              </w:rPr>
              <w:t>6</w:t>
            </w:r>
            <w:r w:rsidRPr="00C33E13">
              <w:rPr>
                <w:rFonts w:ascii="宋体" w:eastAsia="宋体" w:hAnsi="宋体"/>
                <w:sz w:val="24"/>
              </w:rPr>
              <w:t>：</w:t>
            </w:r>
            <w:r w:rsidR="00860A6B">
              <w:rPr>
                <w:rFonts w:ascii="宋体" w:eastAsia="宋体" w:hAnsi="宋体" w:hint="eastAsia"/>
                <w:sz w:val="24"/>
              </w:rPr>
              <w:t>请问公司本次交易的付款</w:t>
            </w:r>
            <w:r w:rsidR="006F28A2">
              <w:rPr>
                <w:rFonts w:ascii="宋体" w:eastAsia="宋体" w:hAnsi="宋体" w:hint="eastAsia"/>
                <w:sz w:val="24"/>
              </w:rPr>
              <w:t>入账情况</w:t>
            </w:r>
            <w:r w:rsidR="00916980">
              <w:rPr>
                <w:rFonts w:ascii="宋体" w:eastAsia="宋体" w:hAnsi="宋体" w:hint="eastAsia"/>
                <w:sz w:val="24"/>
              </w:rPr>
              <w:t>？</w:t>
            </w:r>
            <w:r w:rsidR="00D23525">
              <w:rPr>
                <w:rFonts w:ascii="宋体" w:eastAsia="宋体" w:hAnsi="宋体" w:hint="eastAsia"/>
                <w:sz w:val="24"/>
              </w:rPr>
              <w:t>对于Zenas股权的</w:t>
            </w:r>
            <w:r w:rsidR="00016C21">
              <w:rPr>
                <w:rFonts w:ascii="宋体" w:eastAsia="宋体" w:hAnsi="宋体" w:hint="eastAsia"/>
                <w:sz w:val="24"/>
              </w:rPr>
              <w:t>付出成本</w:t>
            </w:r>
            <w:r w:rsidR="00D23525">
              <w:rPr>
                <w:rFonts w:ascii="宋体" w:eastAsia="宋体" w:hAnsi="宋体" w:hint="eastAsia"/>
                <w:sz w:val="24"/>
              </w:rPr>
              <w:t>？</w:t>
            </w:r>
          </w:p>
          <w:p w14:paraId="4C2EFE5E" w14:textId="48C0E51E" w:rsidR="00860A6B" w:rsidRDefault="00E40D08" w:rsidP="00860A6B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答复：</w:t>
            </w:r>
            <w:r w:rsidR="006F28A2">
              <w:rPr>
                <w:rFonts w:ascii="宋体" w:eastAsia="宋体" w:hAnsi="宋体" w:hint="eastAsia"/>
                <w:sz w:val="24"/>
              </w:rPr>
              <w:t>公司本次交易的首付款部分已经完成入账，近期里程碑</w:t>
            </w:r>
            <w:r w:rsidR="000E11D9" w:rsidRPr="000E11D9">
              <w:rPr>
                <w:rFonts w:ascii="宋体" w:eastAsia="宋体" w:hAnsi="宋体"/>
                <w:sz w:val="24"/>
              </w:rPr>
              <w:t>付款确定性</w:t>
            </w:r>
            <w:r w:rsidR="000E11D9">
              <w:rPr>
                <w:rFonts w:ascii="宋体" w:eastAsia="宋体" w:hAnsi="宋体" w:hint="eastAsia"/>
                <w:sz w:val="24"/>
              </w:rPr>
              <w:t>较</w:t>
            </w:r>
            <w:r w:rsidR="000E11D9" w:rsidRPr="000E11D9">
              <w:rPr>
                <w:rFonts w:ascii="宋体" w:eastAsia="宋体" w:hAnsi="宋体"/>
                <w:sz w:val="24"/>
              </w:rPr>
              <w:t>高</w:t>
            </w:r>
            <w:r w:rsidR="000E11D9">
              <w:rPr>
                <w:rFonts w:ascii="宋体" w:eastAsia="宋体" w:hAnsi="宋体" w:hint="eastAsia"/>
                <w:sz w:val="24"/>
              </w:rPr>
              <w:t>，将于对应的报告期间入账。</w:t>
            </w:r>
            <w:r w:rsidR="00DB06A3" w:rsidRPr="00DB06A3">
              <w:rPr>
                <w:rFonts w:ascii="宋体" w:eastAsia="宋体" w:hAnsi="宋体"/>
                <w:sz w:val="24"/>
              </w:rPr>
              <w:t>Zenas向公司发行的股份按照每股面值0.0001美元的成本发行</w:t>
            </w:r>
            <w:r w:rsidR="00283505">
              <w:rPr>
                <w:rFonts w:ascii="宋体" w:eastAsia="宋体" w:hAnsi="宋体" w:hint="eastAsia"/>
                <w:sz w:val="24"/>
              </w:rPr>
              <w:t>。</w:t>
            </w:r>
          </w:p>
          <w:p w14:paraId="4FE7CAB3" w14:textId="77777777" w:rsidR="00307858" w:rsidRDefault="00307858" w:rsidP="00860A6B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  <w:p w14:paraId="028AB9CE" w14:textId="629ABF7E" w:rsidR="00307858" w:rsidRPr="00C33E13" w:rsidRDefault="00307858" w:rsidP="00307858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lastRenderedPageBreak/>
              <w:t>问题</w:t>
            </w:r>
            <w:r>
              <w:rPr>
                <w:rFonts w:ascii="宋体" w:eastAsia="宋体" w:hAnsi="宋体" w:hint="eastAsia"/>
                <w:sz w:val="24"/>
              </w:rPr>
              <w:t>7</w:t>
            </w:r>
            <w:r w:rsidRPr="00C33E13">
              <w:rPr>
                <w:rFonts w:ascii="宋体" w:eastAsia="宋体" w:hAnsi="宋体"/>
                <w:sz w:val="24"/>
              </w:rPr>
              <w:t>：</w:t>
            </w:r>
            <w:r>
              <w:rPr>
                <w:rFonts w:ascii="宋体" w:eastAsia="宋体" w:hAnsi="宋体" w:hint="eastAsia"/>
                <w:sz w:val="24"/>
              </w:rPr>
              <w:t>请问公司</w:t>
            </w:r>
            <w:r w:rsidR="00665F70">
              <w:rPr>
                <w:rFonts w:ascii="宋体" w:eastAsia="宋体" w:hAnsi="宋体" w:hint="eastAsia"/>
                <w:sz w:val="24"/>
              </w:rPr>
              <w:t>后续</w:t>
            </w:r>
            <w:r w:rsidR="006D07D8">
              <w:rPr>
                <w:rFonts w:ascii="宋体" w:eastAsia="宋体" w:hAnsi="宋体" w:hint="eastAsia"/>
                <w:sz w:val="24"/>
              </w:rPr>
              <w:t>国际化</w:t>
            </w:r>
            <w:r w:rsidR="00665F70">
              <w:rPr>
                <w:rFonts w:ascii="宋体" w:eastAsia="宋体" w:hAnsi="宋体" w:hint="eastAsia"/>
                <w:sz w:val="24"/>
              </w:rPr>
              <w:t>计划</w:t>
            </w:r>
            <w:r>
              <w:rPr>
                <w:rFonts w:ascii="宋体" w:eastAsia="宋体" w:hAnsi="宋体" w:hint="eastAsia"/>
                <w:sz w:val="24"/>
              </w:rPr>
              <w:t>？</w:t>
            </w:r>
          </w:p>
          <w:p w14:paraId="34F2917D" w14:textId="09DAD4F0" w:rsidR="006D07D8" w:rsidRPr="006D07D8" w:rsidRDefault="00307858" w:rsidP="006D07D8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答复：</w:t>
            </w:r>
            <w:r w:rsidR="006D07D8" w:rsidRPr="006D07D8">
              <w:rPr>
                <w:rFonts w:ascii="宋体" w:eastAsia="宋体" w:hAnsi="宋体" w:hint="eastAsia"/>
                <w:sz w:val="24"/>
              </w:rPr>
              <w:t>公司将持续推进全球化战略，以“自主创新</w:t>
            </w:r>
            <w:r w:rsidR="006D07D8" w:rsidRPr="006D07D8">
              <w:rPr>
                <w:rFonts w:ascii="宋体" w:eastAsia="宋体" w:hAnsi="宋体"/>
                <w:sz w:val="24"/>
              </w:rPr>
              <w:t>+合作共赢”的模式加速创新成果在全球范围的临床开发与商业转化。未来，我们将重点从以下几个方向深化国际化布局：</w:t>
            </w:r>
          </w:p>
          <w:p w14:paraId="781811FE" w14:textId="7DF574CD" w:rsidR="006D07D8" w:rsidRPr="006D07D8" w:rsidRDefault="006D07D8" w:rsidP="006D07D8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1）</w:t>
            </w:r>
            <w:r w:rsidRPr="006D07D8">
              <w:rPr>
                <w:rFonts w:ascii="宋体" w:eastAsia="宋体" w:hAnsi="宋体" w:hint="eastAsia"/>
                <w:sz w:val="24"/>
              </w:rPr>
              <w:t>加快全球临床开发</w:t>
            </w:r>
            <w:r w:rsidR="00032F40">
              <w:rPr>
                <w:rFonts w:ascii="宋体" w:eastAsia="宋体" w:hAnsi="宋体" w:hint="eastAsia"/>
                <w:sz w:val="24"/>
              </w:rPr>
              <w:t>——</w:t>
            </w:r>
            <w:r w:rsidRPr="006D07D8">
              <w:rPr>
                <w:rFonts w:ascii="宋体" w:eastAsia="宋体" w:hAnsi="宋体"/>
                <w:sz w:val="24"/>
              </w:rPr>
              <w:t>继续推动</w:t>
            </w:r>
            <w:r>
              <w:rPr>
                <w:rFonts w:ascii="宋体" w:eastAsia="宋体" w:hAnsi="宋体" w:hint="eastAsia"/>
                <w:sz w:val="24"/>
              </w:rPr>
              <w:t>公司在研管线国际临床研究</w:t>
            </w:r>
            <w:r w:rsidRPr="006D07D8">
              <w:rPr>
                <w:rFonts w:ascii="宋体" w:eastAsia="宋体" w:hAnsi="宋体"/>
                <w:sz w:val="24"/>
              </w:rPr>
              <w:t>，并与全球监管机构保持紧密沟通，力争尽快完成</w:t>
            </w:r>
            <w:r>
              <w:rPr>
                <w:rFonts w:ascii="宋体" w:eastAsia="宋体" w:hAnsi="宋体" w:hint="eastAsia"/>
                <w:sz w:val="24"/>
              </w:rPr>
              <w:t>相关</w:t>
            </w:r>
            <w:r w:rsidRPr="006D07D8">
              <w:rPr>
                <w:rFonts w:ascii="宋体" w:eastAsia="宋体" w:hAnsi="宋体"/>
                <w:sz w:val="24"/>
              </w:rPr>
              <w:t>试验。</w:t>
            </w:r>
          </w:p>
          <w:p w14:paraId="4E7740EC" w14:textId="46A499EB" w:rsidR="006D07D8" w:rsidRPr="006D07D8" w:rsidRDefault="006D07D8" w:rsidP="006D07D8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2）</w:t>
            </w:r>
            <w:r w:rsidRPr="006D07D8">
              <w:rPr>
                <w:rFonts w:ascii="宋体" w:eastAsia="宋体" w:hAnsi="宋体" w:hint="eastAsia"/>
                <w:sz w:val="24"/>
              </w:rPr>
              <w:t>拓展高质量</w:t>
            </w:r>
            <w:r w:rsidRPr="006D07D8">
              <w:rPr>
                <w:rFonts w:ascii="宋体" w:eastAsia="宋体" w:hAnsi="宋体"/>
                <w:sz w:val="24"/>
              </w:rPr>
              <w:t>BD合作</w:t>
            </w:r>
            <w:r w:rsidR="00032F40">
              <w:rPr>
                <w:rFonts w:ascii="宋体" w:eastAsia="宋体" w:hAnsi="宋体" w:hint="eastAsia"/>
                <w:sz w:val="24"/>
              </w:rPr>
              <w:t>——</w:t>
            </w:r>
            <w:r w:rsidRPr="006D07D8">
              <w:rPr>
                <w:rFonts w:ascii="宋体" w:eastAsia="宋体" w:hAnsi="宋体"/>
                <w:sz w:val="24"/>
              </w:rPr>
              <w:t>以此次与Zenas的合作为起点，我们将积极寻求与国际</w:t>
            </w:r>
            <w:r>
              <w:rPr>
                <w:rFonts w:ascii="宋体" w:eastAsia="宋体" w:hAnsi="宋体" w:hint="eastAsia"/>
                <w:sz w:val="24"/>
              </w:rPr>
              <w:t>跨国药企及</w:t>
            </w:r>
            <w:r w:rsidRPr="006D07D8">
              <w:rPr>
                <w:rFonts w:ascii="宋体" w:eastAsia="宋体" w:hAnsi="宋体"/>
                <w:sz w:val="24"/>
              </w:rPr>
              <w:t>创新公司在更多管线上的合作机会，进一步释放公司创新管线的全球价值。</w:t>
            </w:r>
          </w:p>
          <w:p w14:paraId="70139233" w14:textId="43981C64" w:rsidR="006D07D8" w:rsidRPr="006D07D8" w:rsidRDefault="006D07D8" w:rsidP="006D07D8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3）</w:t>
            </w:r>
            <w:r w:rsidRPr="006D07D8">
              <w:rPr>
                <w:rFonts w:ascii="宋体" w:eastAsia="宋体" w:hAnsi="宋体" w:hint="eastAsia"/>
                <w:sz w:val="24"/>
              </w:rPr>
              <w:t>强化海外团队与资源建设</w:t>
            </w:r>
            <w:r w:rsidR="00032F40">
              <w:rPr>
                <w:rFonts w:ascii="宋体" w:eastAsia="宋体" w:hAnsi="宋体" w:hint="eastAsia"/>
                <w:sz w:val="24"/>
              </w:rPr>
              <w:t>——</w:t>
            </w:r>
            <w:r w:rsidRPr="006D07D8">
              <w:rPr>
                <w:rFonts w:ascii="宋体" w:eastAsia="宋体" w:hAnsi="宋体"/>
                <w:sz w:val="24"/>
              </w:rPr>
              <w:t>持续完善海外注册、临床、商务开发等职能团队，提升公司在全球创新药市场的综合运营能力。</w:t>
            </w:r>
          </w:p>
          <w:p w14:paraId="551D796A" w14:textId="5702D4D4" w:rsidR="00C50DD4" w:rsidRPr="00506BF8" w:rsidRDefault="006D07D8" w:rsidP="00506BF8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4）</w:t>
            </w:r>
            <w:r w:rsidRPr="006D07D8">
              <w:rPr>
                <w:rFonts w:ascii="宋体" w:eastAsia="宋体" w:hAnsi="宋体" w:hint="eastAsia"/>
                <w:sz w:val="24"/>
              </w:rPr>
              <w:t>提升国际品牌影响力</w:t>
            </w:r>
            <w:r w:rsidR="00032F40">
              <w:rPr>
                <w:rFonts w:ascii="宋体" w:eastAsia="宋体" w:hAnsi="宋体" w:hint="eastAsia"/>
                <w:sz w:val="24"/>
              </w:rPr>
              <w:t>——</w:t>
            </w:r>
            <w:r w:rsidRPr="006D07D8">
              <w:rPr>
                <w:rFonts w:ascii="宋体" w:eastAsia="宋体" w:hAnsi="宋体"/>
                <w:sz w:val="24"/>
              </w:rPr>
              <w:t>通过在国际学术会议和行业平台的持续曝光，进一步增强诺诚健华在全球创新药领域的品牌认知度和行业影响力。</w:t>
            </w:r>
          </w:p>
        </w:tc>
      </w:tr>
    </w:tbl>
    <w:p w14:paraId="159DD880" w14:textId="77777777" w:rsidR="000A5483" w:rsidRPr="00C33E13" w:rsidRDefault="000A5483" w:rsidP="00EF60BC">
      <w:pPr>
        <w:spacing w:line="360" w:lineRule="auto"/>
        <w:rPr>
          <w:rFonts w:ascii="宋体" w:eastAsia="宋体" w:hAnsi="宋体" w:hint="eastAsia"/>
          <w:sz w:val="24"/>
        </w:rPr>
      </w:pPr>
    </w:p>
    <w:sectPr w:rsidR="000A5483" w:rsidRPr="00C33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1C433" w14:textId="77777777" w:rsidR="000D16B2" w:rsidRDefault="000D16B2" w:rsidP="00EC588C">
      <w:pPr>
        <w:rPr>
          <w:rFonts w:hint="eastAsia"/>
        </w:rPr>
      </w:pPr>
      <w:r>
        <w:separator/>
      </w:r>
    </w:p>
  </w:endnote>
  <w:endnote w:type="continuationSeparator" w:id="0">
    <w:p w14:paraId="5DEAFE9F" w14:textId="77777777" w:rsidR="000D16B2" w:rsidRDefault="000D16B2" w:rsidP="00EC58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8C23" w14:textId="77777777" w:rsidR="000D16B2" w:rsidRDefault="000D16B2" w:rsidP="00EC588C">
      <w:pPr>
        <w:rPr>
          <w:rFonts w:hint="eastAsia"/>
        </w:rPr>
      </w:pPr>
      <w:r>
        <w:separator/>
      </w:r>
    </w:p>
  </w:footnote>
  <w:footnote w:type="continuationSeparator" w:id="0">
    <w:p w14:paraId="10449C19" w14:textId="77777777" w:rsidR="000D16B2" w:rsidRDefault="000D16B2" w:rsidP="00EC588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63279"/>
    <w:multiLevelType w:val="hybridMultilevel"/>
    <w:tmpl w:val="21A2A934"/>
    <w:lvl w:ilvl="0" w:tplc="7FC64EA2">
      <w:start w:val="1"/>
      <w:numFmt w:val="japaneseCount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7528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83"/>
    <w:rsid w:val="00000847"/>
    <w:rsid w:val="00000CC3"/>
    <w:rsid w:val="00000D03"/>
    <w:rsid w:val="00004BAC"/>
    <w:rsid w:val="0000537A"/>
    <w:rsid w:val="00006ECF"/>
    <w:rsid w:val="000070E9"/>
    <w:rsid w:val="0001096F"/>
    <w:rsid w:val="00011293"/>
    <w:rsid w:val="000128DC"/>
    <w:rsid w:val="0001345D"/>
    <w:rsid w:val="000144B3"/>
    <w:rsid w:val="00015753"/>
    <w:rsid w:val="00016C21"/>
    <w:rsid w:val="000177BB"/>
    <w:rsid w:val="000204A6"/>
    <w:rsid w:val="00021A74"/>
    <w:rsid w:val="0002313E"/>
    <w:rsid w:val="00024414"/>
    <w:rsid w:val="00024FF0"/>
    <w:rsid w:val="00026D39"/>
    <w:rsid w:val="000275DA"/>
    <w:rsid w:val="000301FF"/>
    <w:rsid w:val="00032F40"/>
    <w:rsid w:val="00033778"/>
    <w:rsid w:val="000375C5"/>
    <w:rsid w:val="0003779F"/>
    <w:rsid w:val="00040859"/>
    <w:rsid w:val="00041C97"/>
    <w:rsid w:val="00042FD5"/>
    <w:rsid w:val="00043103"/>
    <w:rsid w:val="00044754"/>
    <w:rsid w:val="000508AF"/>
    <w:rsid w:val="000526C7"/>
    <w:rsid w:val="000562E5"/>
    <w:rsid w:val="00056CF3"/>
    <w:rsid w:val="00057FB0"/>
    <w:rsid w:val="00062F7A"/>
    <w:rsid w:val="00065E29"/>
    <w:rsid w:val="00066291"/>
    <w:rsid w:val="00066E0F"/>
    <w:rsid w:val="000677D6"/>
    <w:rsid w:val="0007044D"/>
    <w:rsid w:val="000707F9"/>
    <w:rsid w:val="0007170B"/>
    <w:rsid w:val="000764E2"/>
    <w:rsid w:val="00080F30"/>
    <w:rsid w:val="00081FB7"/>
    <w:rsid w:val="00084BA3"/>
    <w:rsid w:val="000861AE"/>
    <w:rsid w:val="00086238"/>
    <w:rsid w:val="00092F18"/>
    <w:rsid w:val="00094AEC"/>
    <w:rsid w:val="00094E9E"/>
    <w:rsid w:val="00094ED1"/>
    <w:rsid w:val="000965EE"/>
    <w:rsid w:val="00097348"/>
    <w:rsid w:val="000A03AA"/>
    <w:rsid w:val="000A20C3"/>
    <w:rsid w:val="000A2794"/>
    <w:rsid w:val="000A2F2B"/>
    <w:rsid w:val="000A3B33"/>
    <w:rsid w:val="000A5483"/>
    <w:rsid w:val="000B0BBA"/>
    <w:rsid w:val="000B17B3"/>
    <w:rsid w:val="000B2092"/>
    <w:rsid w:val="000B3B79"/>
    <w:rsid w:val="000B6495"/>
    <w:rsid w:val="000C1F28"/>
    <w:rsid w:val="000C2416"/>
    <w:rsid w:val="000C4F55"/>
    <w:rsid w:val="000C7EB4"/>
    <w:rsid w:val="000D16B2"/>
    <w:rsid w:val="000D59EF"/>
    <w:rsid w:val="000D61BD"/>
    <w:rsid w:val="000D7BF4"/>
    <w:rsid w:val="000E11D9"/>
    <w:rsid w:val="000E14F4"/>
    <w:rsid w:val="000E15D5"/>
    <w:rsid w:val="000E1D8D"/>
    <w:rsid w:val="000E2148"/>
    <w:rsid w:val="000E259D"/>
    <w:rsid w:val="000E29FA"/>
    <w:rsid w:val="000E3CE4"/>
    <w:rsid w:val="000E49F0"/>
    <w:rsid w:val="000E56C9"/>
    <w:rsid w:val="000E5FFD"/>
    <w:rsid w:val="000F2E00"/>
    <w:rsid w:val="000F3AEA"/>
    <w:rsid w:val="000F48F8"/>
    <w:rsid w:val="000F6343"/>
    <w:rsid w:val="000F685E"/>
    <w:rsid w:val="000F7601"/>
    <w:rsid w:val="000F7CD1"/>
    <w:rsid w:val="001012F7"/>
    <w:rsid w:val="00101A88"/>
    <w:rsid w:val="00103BF8"/>
    <w:rsid w:val="001042D7"/>
    <w:rsid w:val="001048AB"/>
    <w:rsid w:val="0010657A"/>
    <w:rsid w:val="00106C53"/>
    <w:rsid w:val="00107CEB"/>
    <w:rsid w:val="00111DDA"/>
    <w:rsid w:val="00112A65"/>
    <w:rsid w:val="00113686"/>
    <w:rsid w:val="00114498"/>
    <w:rsid w:val="0011729C"/>
    <w:rsid w:val="001175EE"/>
    <w:rsid w:val="00120166"/>
    <w:rsid w:val="001220A6"/>
    <w:rsid w:val="00122E85"/>
    <w:rsid w:val="00122FCE"/>
    <w:rsid w:val="00123E49"/>
    <w:rsid w:val="00126E76"/>
    <w:rsid w:val="00127537"/>
    <w:rsid w:val="00130560"/>
    <w:rsid w:val="00130890"/>
    <w:rsid w:val="00131584"/>
    <w:rsid w:val="0013367A"/>
    <w:rsid w:val="00133E5F"/>
    <w:rsid w:val="00134BF4"/>
    <w:rsid w:val="001357EB"/>
    <w:rsid w:val="00135BF4"/>
    <w:rsid w:val="00136901"/>
    <w:rsid w:val="00137088"/>
    <w:rsid w:val="00137D9E"/>
    <w:rsid w:val="001401AC"/>
    <w:rsid w:val="001414D0"/>
    <w:rsid w:val="00141556"/>
    <w:rsid w:val="00141EDB"/>
    <w:rsid w:val="001422DA"/>
    <w:rsid w:val="00142A50"/>
    <w:rsid w:val="0014454C"/>
    <w:rsid w:val="001446EC"/>
    <w:rsid w:val="00144A16"/>
    <w:rsid w:val="0014569F"/>
    <w:rsid w:val="0014652D"/>
    <w:rsid w:val="00150733"/>
    <w:rsid w:val="00150B31"/>
    <w:rsid w:val="00151A0F"/>
    <w:rsid w:val="00153332"/>
    <w:rsid w:val="00153D99"/>
    <w:rsid w:val="00153F9C"/>
    <w:rsid w:val="00154085"/>
    <w:rsid w:val="001541E2"/>
    <w:rsid w:val="0015486A"/>
    <w:rsid w:val="00154874"/>
    <w:rsid w:val="00156525"/>
    <w:rsid w:val="00156781"/>
    <w:rsid w:val="00156FB2"/>
    <w:rsid w:val="00157DDE"/>
    <w:rsid w:val="00160322"/>
    <w:rsid w:val="00160AD9"/>
    <w:rsid w:val="0016121F"/>
    <w:rsid w:val="001623C8"/>
    <w:rsid w:val="001657BA"/>
    <w:rsid w:val="001662AA"/>
    <w:rsid w:val="00166A7B"/>
    <w:rsid w:val="00167303"/>
    <w:rsid w:val="00167C23"/>
    <w:rsid w:val="00171D7E"/>
    <w:rsid w:val="001722C2"/>
    <w:rsid w:val="00172D9B"/>
    <w:rsid w:val="00172E6D"/>
    <w:rsid w:val="0017321E"/>
    <w:rsid w:val="001735E0"/>
    <w:rsid w:val="00174A40"/>
    <w:rsid w:val="00176382"/>
    <w:rsid w:val="00176783"/>
    <w:rsid w:val="00176CFE"/>
    <w:rsid w:val="00180515"/>
    <w:rsid w:val="00181096"/>
    <w:rsid w:val="00181D8A"/>
    <w:rsid w:val="00181FED"/>
    <w:rsid w:val="00185793"/>
    <w:rsid w:val="00185ADB"/>
    <w:rsid w:val="0018614B"/>
    <w:rsid w:val="00186240"/>
    <w:rsid w:val="0019311E"/>
    <w:rsid w:val="00193181"/>
    <w:rsid w:val="00193DA6"/>
    <w:rsid w:val="00193FCE"/>
    <w:rsid w:val="001972DA"/>
    <w:rsid w:val="0019738D"/>
    <w:rsid w:val="001973D4"/>
    <w:rsid w:val="00197F0D"/>
    <w:rsid w:val="001A165A"/>
    <w:rsid w:val="001A2093"/>
    <w:rsid w:val="001A553C"/>
    <w:rsid w:val="001A6196"/>
    <w:rsid w:val="001B03D3"/>
    <w:rsid w:val="001B0613"/>
    <w:rsid w:val="001B0C4C"/>
    <w:rsid w:val="001B1604"/>
    <w:rsid w:val="001B1684"/>
    <w:rsid w:val="001B232C"/>
    <w:rsid w:val="001B627D"/>
    <w:rsid w:val="001B7930"/>
    <w:rsid w:val="001C1CD0"/>
    <w:rsid w:val="001C7107"/>
    <w:rsid w:val="001D089A"/>
    <w:rsid w:val="001D1563"/>
    <w:rsid w:val="001D2D2B"/>
    <w:rsid w:val="001D34C3"/>
    <w:rsid w:val="001E154E"/>
    <w:rsid w:val="001E1D1C"/>
    <w:rsid w:val="001E3955"/>
    <w:rsid w:val="001E3BFF"/>
    <w:rsid w:val="001E3C58"/>
    <w:rsid w:val="001E6CAA"/>
    <w:rsid w:val="001E702D"/>
    <w:rsid w:val="001E712F"/>
    <w:rsid w:val="001E76F9"/>
    <w:rsid w:val="001F0733"/>
    <w:rsid w:val="001F0816"/>
    <w:rsid w:val="001F332C"/>
    <w:rsid w:val="001F512E"/>
    <w:rsid w:val="001F5CEE"/>
    <w:rsid w:val="001F5E7D"/>
    <w:rsid w:val="0020019A"/>
    <w:rsid w:val="00200261"/>
    <w:rsid w:val="0020138E"/>
    <w:rsid w:val="00205A43"/>
    <w:rsid w:val="00206E27"/>
    <w:rsid w:val="0020775A"/>
    <w:rsid w:val="00211846"/>
    <w:rsid w:val="002127FE"/>
    <w:rsid w:val="0021645E"/>
    <w:rsid w:val="00217A35"/>
    <w:rsid w:val="0022189B"/>
    <w:rsid w:val="002227DD"/>
    <w:rsid w:val="00222DB6"/>
    <w:rsid w:val="002245F2"/>
    <w:rsid w:val="00226AAB"/>
    <w:rsid w:val="002312DE"/>
    <w:rsid w:val="00232B2C"/>
    <w:rsid w:val="00235152"/>
    <w:rsid w:val="00236627"/>
    <w:rsid w:val="00237C96"/>
    <w:rsid w:val="00237D62"/>
    <w:rsid w:val="00240F24"/>
    <w:rsid w:val="0024244D"/>
    <w:rsid w:val="002435AF"/>
    <w:rsid w:val="00245A33"/>
    <w:rsid w:val="002465CD"/>
    <w:rsid w:val="0024751A"/>
    <w:rsid w:val="00250173"/>
    <w:rsid w:val="00250197"/>
    <w:rsid w:val="002508E6"/>
    <w:rsid w:val="002509C8"/>
    <w:rsid w:val="00251771"/>
    <w:rsid w:val="00251EC7"/>
    <w:rsid w:val="0025573C"/>
    <w:rsid w:val="002574C8"/>
    <w:rsid w:val="00257787"/>
    <w:rsid w:val="00260D25"/>
    <w:rsid w:val="00261C9B"/>
    <w:rsid w:val="00266C5B"/>
    <w:rsid w:val="0027181C"/>
    <w:rsid w:val="00272ECB"/>
    <w:rsid w:val="0027432A"/>
    <w:rsid w:val="00277FD0"/>
    <w:rsid w:val="002804FB"/>
    <w:rsid w:val="00282D16"/>
    <w:rsid w:val="00282E52"/>
    <w:rsid w:val="00283505"/>
    <w:rsid w:val="0028359C"/>
    <w:rsid w:val="00283FB0"/>
    <w:rsid w:val="00284AB9"/>
    <w:rsid w:val="00284D8C"/>
    <w:rsid w:val="002855D9"/>
    <w:rsid w:val="0028666E"/>
    <w:rsid w:val="00287806"/>
    <w:rsid w:val="00290A69"/>
    <w:rsid w:val="002924E9"/>
    <w:rsid w:val="0029270A"/>
    <w:rsid w:val="00295DFA"/>
    <w:rsid w:val="00296208"/>
    <w:rsid w:val="002A2C7B"/>
    <w:rsid w:val="002A47B3"/>
    <w:rsid w:val="002A5C40"/>
    <w:rsid w:val="002A7402"/>
    <w:rsid w:val="002A7467"/>
    <w:rsid w:val="002A7AD7"/>
    <w:rsid w:val="002B0EDC"/>
    <w:rsid w:val="002B0F9A"/>
    <w:rsid w:val="002B28E6"/>
    <w:rsid w:val="002B2A5B"/>
    <w:rsid w:val="002B33BC"/>
    <w:rsid w:val="002B4525"/>
    <w:rsid w:val="002B5029"/>
    <w:rsid w:val="002B5792"/>
    <w:rsid w:val="002B683F"/>
    <w:rsid w:val="002B6906"/>
    <w:rsid w:val="002B6A42"/>
    <w:rsid w:val="002B6FF0"/>
    <w:rsid w:val="002B7E11"/>
    <w:rsid w:val="002C1002"/>
    <w:rsid w:val="002C2953"/>
    <w:rsid w:val="002C3869"/>
    <w:rsid w:val="002C4638"/>
    <w:rsid w:val="002C5814"/>
    <w:rsid w:val="002D023F"/>
    <w:rsid w:val="002D1038"/>
    <w:rsid w:val="002D342A"/>
    <w:rsid w:val="002D348C"/>
    <w:rsid w:val="002D40C9"/>
    <w:rsid w:val="002D459D"/>
    <w:rsid w:val="002D5730"/>
    <w:rsid w:val="002E07AA"/>
    <w:rsid w:val="002E16C7"/>
    <w:rsid w:val="002E1CEF"/>
    <w:rsid w:val="002E3B4B"/>
    <w:rsid w:val="002E4209"/>
    <w:rsid w:val="002E5932"/>
    <w:rsid w:val="002E72C0"/>
    <w:rsid w:val="002E765C"/>
    <w:rsid w:val="002E78A7"/>
    <w:rsid w:val="002F2BAD"/>
    <w:rsid w:val="002F34BC"/>
    <w:rsid w:val="002F3B28"/>
    <w:rsid w:val="002F4014"/>
    <w:rsid w:val="002F44A3"/>
    <w:rsid w:val="002F64C6"/>
    <w:rsid w:val="002F6F95"/>
    <w:rsid w:val="002F7121"/>
    <w:rsid w:val="003030A2"/>
    <w:rsid w:val="003033F8"/>
    <w:rsid w:val="00303645"/>
    <w:rsid w:val="00305193"/>
    <w:rsid w:val="00306FF1"/>
    <w:rsid w:val="003070A7"/>
    <w:rsid w:val="00307858"/>
    <w:rsid w:val="00307D8E"/>
    <w:rsid w:val="0031002B"/>
    <w:rsid w:val="0031019D"/>
    <w:rsid w:val="0031034E"/>
    <w:rsid w:val="00311B67"/>
    <w:rsid w:val="0031214F"/>
    <w:rsid w:val="0031486A"/>
    <w:rsid w:val="00314DFD"/>
    <w:rsid w:val="00315D91"/>
    <w:rsid w:val="00320795"/>
    <w:rsid w:val="00320BF3"/>
    <w:rsid w:val="0032324C"/>
    <w:rsid w:val="0032355A"/>
    <w:rsid w:val="00323BA1"/>
    <w:rsid w:val="0032555B"/>
    <w:rsid w:val="00327421"/>
    <w:rsid w:val="00332D13"/>
    <w:rsid w:val="00335028"/>
    <w:rsid w:val="00336D26"/>
    <w:rsid w:val="00344363"/>
    <w:rsid w:val="00344F37"/>
    <w:rsid w:val="00350B1D"/>
    <w:rsid w:val="003518E6"/>
    <w:rsid w:val="00352D52"/>
    <w:rsid w:val="00352F56"/>
    <w:rsid w:val="0035552E"/>
    <w:rsid w:val="00355D73"/>
    <w:rsid w:val="0035646D"/>
    <w:rsid w:val="00356596"/>
    <w:rsid w:val="003569E2"/>
    <w:rsid w:val="00357721"/>
    <w:rsid w:val="003612D2"/>
    <w:rsid w:val="00361720"/>
    <w:rsid w:val="0036348D"/>
    <w:rsid w:val="00363881"/>
    <w:rsid w:val="00363B0A"/>
    <w:rsid w:val="00365C93"/>
    <w:rsid w:val="00366ADD"/>
    <w:rsid w:val="003725C8"/>
    <w:rsid w:val="003726D7"/>
    <w:rsid w:val="00373855"/>
    <w:rsid w:val="00374B61"/>
    <w:rsid w:val="0037678D"/>
    <w:rsid w:val="00380C51"/>
    <w:rsid w:val="00382AF3"/>
    <w:rsid w:val="00383266"/>
    <w:rsid w:val="00383801"/>
    <w:rsid w:val="00384ACD"/>
    <w:rsid w:val="0038522D"/>
    <w:rsid w:val="00386B97"/>
    <w:rsid w:val="00386DC2"/>
    <w:rsid w:val="00390955"/>
    <w:rsid w:val="00391EC7"/>
    <w:rsid w:val="003922D0"/>
    <w:rsid w:val="00395D46"/>
    <w:rsid w:val="003972C0"/>
    <w:rsid w:val="003A0D20"/>
    <w:rsid w:val="003A2F24"/>
    <w:rsid w:val="003A32AE"/>
    <w:rsid w:val="003A439E"/>
    <w:rsid w:val="003A44F8"/>
    <w:rsid w:val="003A54EF"/>
    <w:rsid w:val="003A5886"/>
    <w:rsid w:val="003A759A"/>
    <w:rsid w:val="003A7F46"/>
    <w:rsid w:val="003B19A5"/>
    <w:rsid w:val="003B3749"/>
    <w:rsid w:val="003B5C89"/>
    <w:rsid w:val="003C2237"/>
    <w:rsid w:val="003C378B"/>
    <w:rsid w:val="003C46C5"/>
    <w:rsid w:val="003C730F"/>
    <w:rsid w:val="003C78C3"/>
    <w:rsid w:val="003D0EBB"/>
    <w:rsid w:val="003D0EBC"/>
    <w:rsid w:val="003D2A63"/>
    <w:rsid w:val="003D2B2B"/>
    <w:rsid w:val="003D3B7E"/>
    <w:rsid w:val="003D4465"/>
    <w:rsid w:val="003D582E"/>
    <w:rsid w:val="003E2C92"/>
    <w:rsid w:val="003E31E8"/>
    <w:rsid w:val="003E33F1"/>
    <w:rsid w:val="003E3D01"/>
    <w:rsid w:val="003E4CC5"/>
    <w:rsid w:val="003E4E2C"/>
    <w:rsid w:val="003E549C"/>
    <w:rsid w:val="003E5C7C"/>
    <w:rsid w:val="003E658D"/>
    <w:rsid w:val="003E6B30"/>
    <w:rsid w:val="003F1FD1"/>
    <w:rsid w:val="003F2BBE"/>
    <w:rsid w:val="004005BE"/>
    <w:rsid w:val="00404216"/>
    <w:rsid w:val="00404465"/>
    <w:rsid w:val="0040496D"/>
    <w:rsid w:val="00406CF2"/>
    <w:rsid w:val="0040715A"/>
    <w:rsid w:val="004108D3"/>
    <w:rsid w:val="00411631"/>
    <w:rsid w:val="00412ACB"/>
    <w:rsid w:val="00412ECC"/>
    <w:rsid w:val="00415340"/>
    <w:rsid w:val="0041668A"/>
    <w:rsid w:val="00424C1E"/>
    <w:rsid w:val="0042794C"/>
    <w:rsid w:val="00432144"/>
    <w:rsid w:val="00433019"/>
    <w:rsid w:val="00433B13"/>
    <w:rsid w:val="00435AB3"/>
    <w:rsid w:val="00435F34"/>
    <w:rsid w:val="0043616A"/>
    <w:rsid w:val="00436723"/>
    <w:rsid w:val="00437238"/>
    <w:rsid w:val="004400FF"/>
    <w:rsid w:val="00440E8F"/>
    <w:rsid w:val="00441D35"/>
    <w:rsid w:val="0044231A"/>
    <w:rsid w:val="00442836"/>
    <w:rsid w:val="00442DEA"/>
    <w:rsid w:val="00443013"/>
    <w:rsid w:val="00443859"/>
    <w:rsid w:val="00444E9E"/>
    <w:rsid w:val="00445987"/>
    <w:rsid w:val="00446A44"/>
    <w:rsid w:val="00447519"/>
    <w:rsid w:val="0045081F"/>
    <w:rsid w:val="00450DB2"/>
    <w:rsid w:val="004511A2"/>
    <w:rsid w:val="004512EA"/>
    <w:rsid w:val="004536ED"/>
    <w:rsid w:val="00453B64"/>
    <w:rsid w:val="004543A7"/>
    <w:rsid w:val="0045512A"/>
    <w:rsid w:val="00455646"/>
    <w:rsid w:val="004569FC"/>
    <w:rsid w:val="00456CD0"/>
    <w:rsid w:val="00457EFD"/>
    <w:rsid w:val="00460B5F"/>
    <w:rsid w:val="00462A37"/>
    <w:rsid w:val="00463583"/>
    <w:rsid w:val="00463A07"/>
    <w:rsid w:val="00465373"/>
    <w:rsid w:val="004678D4"/>
    <w:rsid w:val="004706E2"/>
    <w:rsid w:val="004715C3"/>
    <w:rsid w:val="00471E2F"/>
    <w:rsid w:val="00472639"/>
    <w:rsid w:val="00472F8B"/>
    <w:rsid w:val="00475262"/>
    <w:rsid w:val="00475EF6"/>
    <w:rsid w:val="00480135"/>
    <w:rsid w:val="00480742"/>
    <w:rsid w:val="00483266"/>
    <w:rsid w:val="004836B5"/>
    <w:rsid w:val="00485864"/>
    <w:rsid w:val="00485EC8"/>
    <w:rsid w:val="00486EE8"/>
    <w:rsid w:val="00487D59"/>
    <w:rsid w:val="004906A7"/>
    <w:rsid w:val="00491A85"/>
    <w:rsid w:val="00491AD5"/>
    <w:rsid w:val="00493864"/>
    <w:rsid w:val="004953EB"/>
    <w:rsid w:val="00496E88"/>
    <w:rsid w:val="00497EA6"/>
    <w:rsid w:val="004A1937"/>
    <w:rsid w:val="004A25D9"/>
    <w:rsid w:val="004A27EE"/>
    <w:rsid w:val="004A2AFD"/>
    <w:rsid w:val="004A46A9"/>
    <w:rsid w:val="004A4B24"/>
    <w:rsid w:val="004A5E4D"/>
    <w:rsid w:val="004A6C4B"/>
    <w:rsid w:val="004B0FAC"/>
    <w:rsid w:val="004B1FF1"/>
    <w:rsid w:val="004B20F5"/>
    <w:rsid w:val="004B2711"/>
    <w:rsid w:val="004B441D"/>
    <w:rsid w:val="004B55E5"/>
    <w:rsid w:val="004B62B7"/>
    <w:rsid w:val="004B6F02"/>
    <w:rsid w:val="004B7078"/>
    <w:rsid w:val="004C18CA"/>
    <w:rsid w:val="004C355D"/>
    <w:rsid w:val="004C4170"/>
    <w:rsid w:val="004C5B84"/>
    <w:rsid w:val="004C65D0"/>
    <w:rsid w:val="004C7788"/>
    <w:rsid w:val="004D0ADC"/>
    <w:rsid w:val="004D50E2"/>
    <w:rsid w:val="004D5FD0"/>
    <w:rsid w:val="004D67E0"/>
    <w:rsid w:val="004D6E80"/>
    <w:rsid w:val="004D74CE"/>
    <w:rsid w:val="004E1C9B"/>
    <w:rsid w:val="004E2149"/>
    <w:rsid w:val="004E30C5"/>
    <w:rsid w:val="004E3BD0"/>
    <w:rsid w:val="004E489A"/>
    <w:rsid w:val="004E4E97"/>
    <w:rsid w:val="004E5C29"/>
    <w:rsid w:val="004E5D95"/>
    <w:rsid w:val="004E5FC3"/>
    <w:rsid w:val="004E72FB"/>
    <w:rsid w:val="004E7311"/>
    <w:rsid w:val="004F2AC6"/>
    <w:rsid w:val="004F6D26"/>
    <w:rsid w:val="00500623"/>
    <w:rsid w:val="005042E7"/>
    <w:rsid w:val="00504655"/>
    <w:rsid w:val="00506BF8"/>
    <w:rsid w:val="00507496"/>
    <w:rsid w:val="00507545"/>
    <w:rsid w:val="005106F3"/>
    <w:rsid w:val="0051136B"/>
    <w:rsid w:val="005136C3"/>
    <w:rsid w:val="00516B02"/>
    <w:rsid w:val="00516C5A"/>
    <w:rsid w:val="0052212A"/>
    <w:rsid w:val="00522A5F"/>
    <w:rsid w:val="00522E7C"/>
    <w:rsid w:val="0052358E"/>
    <w:rsid w:val="0052412A"/>
    <w:rsid w:val="005241AB"/>
    <w:rsid w:val="0052635C"/>
    <w:rsid w:val="0052662D"/>
    <w:rsid w:val="00527120"/>
    <w:rsid w:val="005302C6"/>
    <w:rsid w:val="00530E9C"/>
    <w:rsid w:val="00532FFF"/>
    <w:rsid w:val="00533BCC"/>
    <w:rsid w:val="00534253"/>
    <w:rsid w:val="00534841"/>
    <w:rsid w:val="00534F50"/>
    <w:rsid w:val="00536213"/>
    <w:rsid w:val="00536A15"/>
    <w:rsid w:val="0054022C"/>
    <w:rsid w:val="00542C91"/>
    <w:rsid w:val="005441C2"/>
    <w:rsid w:val="00545497"/>
    <w:rsid w:val="005455DB"/>
    <w:rsid w:val="0054607B"/>
    <w:rsid w:val="0054715C"/>
    <w:rsid w:val="00550C8A"/>
    <w:rsid w:val="00551210"/>
    <w:rsid w:val="005512F4"/>
    <w:rsid w:val="00552C8E"/>
    <w:rsid w:val="00553109"/>
    <w:rsid w:val="00553CCA"/>
    <w:rsid w:val="00553D48"/>
    <w:rsid w:val="005565EC"/>
    <w:rsid w:val="00556933"/>
    <w:rsid w:val="00561F44"/>
    <w:rsid w:val="00562B51"/>
    <w:rsid w:val="00565E2F"/>
    <w:rsid w:val="00566D46"/>
    <w:rsid w:val="005701BE"/>
    <w:rsid w:val="005718D5"/>
    <w:rsid w:val="0057231E"/>
    <w:rsid w:val="0057504F"/>
    <w:rsid w:val="0057763B"/>
    <w:rsid w:val="00581D20"/>
    <w:rsid w:val="00582A6F"/>
    <w:rsid w:val="00583C9B"/>
    <w:rsid w:val="00585C82"/>
    <w:rsid w:val="00587532"/>
    <w:rsid w:val="00590363"/>
    <w:rsid w:val="00591D0E"/>
    <w:rsid w:val="00593B3B"/>
    <w:rsid w:val="005949F2"/>
    <w:rsid w:val="00595186"/>
    <w:rsid w:val="00595709"/>
    <w:rsid w:val="00595D6C"/>
    <w:rsid w:val="005A0E9E"/>
    <w:rsid w:val="005A1EF1"/>
    <w:rsid w:val="005A202E"/>
    <w:rsid w:val="005A27B6"/>
    <w:rsid w:val="005A36D5"/>
    <w:rsid w:val="005A4E2D"/>
    <w:rsid w:val="005A537B"/>
    <w:rsid w:val="005A53A1"/>
    <w:rsid w:val="005A5F3B"/>
    <w:rsid w:val="005A6D80"/>
    <w:rsid w:val="005A71DB"/>
    <w:rsid w:val="005A7C39"/>
    <w:rsid w:val="005B011C"/>
    <w:rsid w:val="005B0ED9"/>
    <w:rsid w:val="005B1F65"/>
    <w:rsid w:val="005B269A"/>
    <w:rsid w:val="005B38C6"/>
    <w:rsid w:val="005B42B6"/>
    <w:rsid w:val="005C1EAD"/>
    <w:rsid w:val="005C273C"/>
    <w:rsid w:val="005C3D0B"/>
    <w:rsid w:val="005C5192"/>
    <w:rsid w:val="005C5D77"/>
    <w:rsid w:val="005C6D22"/>
    <w:rsid w:val="005C7A19"/>
    <w:rsid w:val="005D586F"/>
    <w:rsid w:val="005D6784"/>
    <w:rsid w:val="005D7C0D"/>
    <w:rsid w:val="005E092A"/>
    <w:rsid w:val="005E1B79"/>
    <w:rsid w:val="005E1ED7"/>
    <w:rsid w:val="005E3166"/>
    <w:rsid w:val="005E351F"/>
    <w:rsid w:val="005E3FB1"/>
    <w:rsid w:val="005E48B5"/>
    <w:rsid w:val="005E4A7E"/>
    <w:rsid w:val="005E7B46"/>
    <w:rsid w:val="005F197E"/>
    <w:rsid w:val="005F315D"/>
    <w:rsid w:val="005F4A6F"/>
    <w:rsid w:val="005F7CAC"/>
    <w:rsid w:val="00600322"/>
    <w:rsid w:val="00600755"/>
    <w:rsid w:val="00601C74"/>
    <w:rsid w:val="00603581"/>
    <w:rsid w:val="0060450F"/>
    <w:rsid w:val="00607E60"/>
    <w:rsid w:val="006108A5"/>
    <w:rsid w:val="006110BD"/>
    <w:rsid w:val="006115A2"/>
    <w:rsid w:val="00612118"/>
    <w:rsid w:val="00612507"/>
    <w:rsid w:val="006127C0"/>
    <w:rsid w:val="00613082"/>
    <w:rsid w:val="006148F8"/>
    <w:rsid w:val="00617D99"/>
    <w:rsid w:val="0062115F"/>
    <w:rsid w:val="00622ECE"/>
    <w:rsid w:val="00623215"/>
    <w:rsid w:val="0062668C"/>
    <w:rsid w:val="006312DE"/>
    <w:rsid w:val="006327D8"/>
    <w:rsid w:val="00636D40"/>
    <w:rsid w:val="006423A6"/>
    <w:rsid w:val="00642D46"/>
    <w:rsid w:val="00642FA8"/>
    <w:rsid w:val="006455A6"/>
    <w:rsid w:val="00650F8A"/>
    <w:rsid w:val="00652254"/>
    <w:rsid w:val="00652ED4"/>
    <w:rsid w:val="00654734"/>
    <w:rsid w:val="006549F1"/>
    <w:rsid w:val="00655087"/>
    <w:rsid w:val="00655134"/>
    <w:rsid w:val="006602DC"/>
    <w:rsid w:val="00660FD7"/>
    <w:rsid w:val="00661023"/>
    <w:rsid w:val="00662A81"/>
    <w:rsid w:val="00663ED7"/>
    <w:rsid w:val="00665F70"/>
    <w:rsid w:val="00670ACC"/>
    <w:rsid w:val="0067125E"/>
    <w:rsid w:val="00671616"/>
    <w:rsid w:val="0067735F"/>
    <w:rsid w:val="00680AD5"/>
    <w:rsid w:val="0068130C"/>
    <w:rsid w:val="0068197A"/>
    <w:rsid w:val="00683C62"/>
    <w:rsid w:val="00684950"/>
    <w:rsid w:val="006849DA"/>
    <w:rsid w:val="006851AA"/>
    <w:rsid w:val="0068680A"/>
    <w:rsid w:val="006871E5"/>
    <w:rsid w:val="00690BE8"/>
    <w:rsid w:val="00690CDA"/>
    <w:rsid w:val="00694620"/>
    <w:rsid w:val="006962D4"/>
    <w:rsid w:val="006A04B9"/>
    <w:rsid w:val="006A0915"/>
    <w:rsid w:val="006A2A56"/>
    <w:rsid w:val="006A2D1F"/>
    <w:rsid w:val="006A3180"/>
    <w:rsid w:val="006A33D0"/>
    <w:rsid w:val="006A5DC7"/>
    <w:rsid w:val="006A740F"/>
    <w:rsid w:val="006A776B"/>
    <w:rsid w:val="006A7BE5"/>
    <w:rsid w:val="006B0F44"/>
    <w:rsid w:val="006B1661"/>
    <w:rsid w:val="006B2B28"/>
    <w:rsid w:val="006B5455"/>
    <w:rsid w:val="006B65A7"/>
    <w:rsid w:val="006B7F7D"/>
    <w:rsid w:val="006C2D23"/>
    <w:rsid w:val="006C3718"/>
    <w:rsid w:val="006C3839"/>
    <w:rsid w:val="006C4EEE"/>
    <w:rsid w:val="006C5074"/>
    <w:rsid w:val="006C5474"/>
    <w:rsid w:val="006C548B"/>
    <w:rsid w:val="006C6C5A"/>
    <w:rsid w:val="006C6E7E"/>
    <w:rsid w:val="006C72D0"/>
    <w:rsid w:val="006C7657"/>
    <w:rsid w:val="006C7719"/>
    <w:rsid w:val="006C7BF3"/>
    <w:rsid w:val="006C7D38"/>
    <w:rsid w:val="006D02F8"/>
    <w:rsid w:val="006D0771"/>
    <w:rsid w:val="006D07D8"/>
    <w:rsid w:val="006D3CAC"/>
    <w:rsid w:val="006D4A1F"/>
    <w:rsid w:val="006D4C22"/>
    <w:rsid w:val="006D599F"/>
    <w:rsid w:val="006D5E56"/>
    <w:rsid w:val="006D60E1"/>
    <w:rsid w:val="006D6542"/>
    <w:rsid w:val="006D6617"/>
    <w:rsid w:val="006D70B9"/>
    <w:rsid w:val="006D729B"/>
    <w:rsid w:val="006E0F9E"/>
    <w:rsid w:val="006E1B00"/>
    <w:rsid w:val="006E1F85"/>
    <w:rsid w:val="006E2135"/>
    <w:rsid w:val="006E372A"/>
    <w:rsid w:val="006E4599"/>
    <w:rsid w:val="006E52E0"/>
    <w:rsid w:val="006E6047"/>
    <w:rsid w:val="006E6A6A"/>
    <w:rsid w:val="006E724C"/>
    <w:rsid w:val="006E7252"/>
    <w:rsid w:val="006F131B"/>
    <w:rsid w:val="006F184D"/>
    <w:rsid w:val="006F28A2"/>
    <w:rsid w:val="006F3C31"/>
    <w:rsid w:val="006F41C5"/>
    <w:rsid w:val="006F569F"/>
    <w:rsid w:val="006F7D32"/>
    <w:rsid w:val="00700B64"/>
    <w:rsid w:val="00700B96"/>
    <w:rsid w:val="00702E40"/>
    <w:rsid w:val="00703DD3"/>
    <w:rsid w:val="00706D68"/>
    <w:rsid w:val="00707929"/>
    <w:rsid w:val="00707B04"/>
    <w:rsid w:val="00712ECB"/>
    <w:rsid w:val="00723509"/>
    <w:rsid w:val="007250AE"/>
    <w:rsid w:val="00725E3F"/>
    <w:rsid w:val="007272F0"/>
    <w:rsid w:val="00727626"/>
    <w:rsid w:val="00730CCE"/>
    <w:rsid w:val="00734C1B"/>
    <w:rsid w:val="00734DFC"/>
    <w:rsid w:val="00736A16"/>
    <w:rsid w:val="007375AA"/>
    <w:rsid w:val="00744D8C"/>
    <w:rsid w:val="00745168"/>
    <w:rsid w:val="007457F2"/>
    <w:rsid w:val="00746BF9"/>
    <w:rsid w:val="00747B07"/>
    <w:rsid w:val="00750DC5"/>
    <w:rsid w:val="00751609"/>
    <w:rsid w:val="0075171F"/>
    <w:rsid w:val="00753A4A"/>
    <w:rsid w:val="00753A5F"/>
    <w:rsid w:val="00753BBA"/>
    <w:rsid w:val="00755FB1"/>
    <w:rsid w:val="007564CE"/>
    <w:rsid w:val="007617D2"/>
    <w:rsid w:val="00761D16"/>
    <w:rsid w:val="00763B40"/>
    <w:rsid w:val="007645ED"/>
    <w:rsid w:val="00764D27"/>
    <w:rsid w:val="007650F4"/>
    <w:rsid w:val="00765DFD"/>
    <w:rsid w:val="00766652"/>
    <w:rsid w:val="007710BA"/>
    <w:rsid w:val="00773957"/>
    <w:rsid w:val="007747BA"/>
    <w:rsid w:val="0077587F"/>
    <w:rsid w:val="0078051A"/>
    <w:rsid w:val="0078099F"/>
    <w:rsid w:val="00781155"/>
    <w:rsid w:val="00782A94"/>
    <w:rsid w:val="007839A5"/>
    <w:rsid w:val="007860ED"/>
    <w:rsid w:val="007863E2"/>
    <w:rsid w:val="00790B1B"/>
    <w:rsid w:val="007917FA"/>
    <w:rsid w:val="00793F17"/>
    <w:rsid w:val="0079458F"/>
    <w:rsid w:val="00795841"/>
    <w:rsid w:val="00796362"/>
    <w:rsid w:val="00796B4D"/>
    <w:rsid w:val="00796F8B"/>
    <w:rsid w:val="007A22C2"/>
    <w:rsid w:val="007A4607"/>
    <w:rsid w:val="007A52E8"/>
    <w:rsid w:val="007A588C"/>
    <w:rsid w:val="007A6201"/>
    <w:rsid w:val="007A6DE4"/>
    <w:rsid w:val="007B2CB0"/>
    <w:rsid w:val="007B3ED6"/>
    <w:rsid w:val="007B42BF"/>
    <w:rsid w:val="007B4CAB"/>
    <w:rsid w:val="007C03E5"/>
    <w:rsid w:val="007C07A1"/>
    <w:rsid w:val="007C088D"/>
    <w:rsid w:val="007C2390"/>
    <w:rsid w:val="007C282F"/>
    <w:rsid w:val="007C2F80"/>
    <w:rsid w:val="007C3494"/>
    <w:rsid w:val="007C3B46"/>
    <w:rsid w:val="007C6199"/>
    <w:rsid w:val="007C6707"/>
    <w:rsid w:val="007C6868"/>
    <w:rsid w:val="007C7907"/>
    <w:rsid w:val="007C7CDF"/>
    <w:rsid w:val="007C7D1E"/>
    <w:rsid w:val="007D018D"/>
    <w:rsid w:val="007D114B"/>
    <w:rsid w:val="007D33C3"/>
    <w:rsid w:val="007D46D2"/>
    <w:rsid w:val="007D52EC"/>
    <w:rsid w:val="007D6F56"/>
    <w:rsid w:val="007E2ABB"/>
    <w:rsid w:val="007E3149"/>
    <w:rsid w:val="007E4B90"/>
    <w:rsid w:val="007E4CC5"/>
    <w:rsid w:val="007E50C0"/>
    <w:rsid w:val="007E64AE"/>
    <w:rsid w:val="007F1612"/>
    <w:rsid w:val="007F181B"/>
    <w:rsid w:val="007F19E0"/>
    <w:rsid w:val="007F280A"/>
    <w:rsid w:val="007F4BA1"/>
    <w:rsid w:val="007F4F15"/>
    <w:rsid w:val="007F5943"/>
    <w:rsid w:val="007F5E57"/>
    <w:rsid w:val="007F630C"/>
    <w:rsid w:val="007F6412"/>
    <w:rsid w:val="007F67F5"/>
    <w:rsid w:val="007F78B5"/>
    <w:rsid w:val="00800079"/>
    <w:rsid w:val="00800C7F"/>
    <w:rsid w:val="00800E53"/>
    <w:rsid w:val="008032FE"/>
    <w:rsid w:val="00803DF6"/>
    <w:rsid w:val="00803F7F"/>
    <w:rsid w:val="00804CE9"/>
    <w:rsid w:val="00807393"/>
    <w:rsid w:val="00807586"/>
    <w:rsid w:val="00814B7B"/>
    <w:rsid w:val="008156EB"/>
    <w:rsid w:val="00815934"/>
    <w:rsid w:val="0081679F"/>
    <w:rsid w:val="00817017"/>
    <w:rsid w:val="00817759"/>
    <w:rsid w:val="00817EA6"/>
    <w:rsid w:val="00820219"/>
    <w:rsid w:val="00820DB9"/>
    <w:rsid w:val="0082142E"/>
    <w:rsid w:val="008224CB"/>
    <w:rsid w:val="00825029"/>
    <w:rsid w:val="008263B5"/>
    <w:rsid w:val="00826405"/>
    <w:rsid w:val="0082747A"/>
    <w:rsid w:val="008279A3"/>
    <w:rsid w:val="00827E18"/>
    <w:rsid w:val="008315EC"/>
    <w:rsid w:val="00831856"/>
    <w:rsid w:val="00831F8A"/>
    <w:rsid w:val="00832AEA"/>
    <w:rsid w:val="008334AA"/>
    <w:rsid w:val="00833875"/>
    <w:rsid w:val="00834653"/>
    <w:rsid w:val="00834E8B"/>
    <w:rsid w:val="00836D44"/>
    <w:rsid w:val="008409B7"/>
    <w:rsid w:val="008417CF"/>
    <w:rsid w:val="008426A8"/>
    <w:rsid w:val="00843065"/>
    <w:rsid w:val="00843A03"/>
    <w:rsid w:val="008446EF"/>
    <w:rsid w:val="00844A02"/>
    <w:rsid w:val="00844BCA"/>
    <w:rsid w:val="00844DAD"/>
    <w:rsid w:val="00846169"/>
    <w:rsid w:val="008502C8"/>
    <w:rsid w:val="00850327"/>
    <w:rsid w:val="008503B3"/>
    <w:rsid w:val="008511A6"/>
    <w:rsid w:val="008519F6"/>
    <w:rsid w:val="00853D2E"/>
    <w:rsid w:val="00853EDE"/>
    <w:rsid w:val="00855379"/>
    <w:rsid w:val="008554B9"/>
    <w:rsid w:val="00860A6B"/>
    <w:rsid w:val="0086100F"/>
    <w:rsid w:val="00861543"/>
    <w:rsid w:val="00861E97"/>
    <w:rsid w:val="00862100"/>
    <w:rsid w:val="0086413B"/>
    <w:rsid w:val="00866555"/>
    <w:rsid w:val="00867C0E"/>
    <w:rsid w:val="00870939"/>
    <w:rsid w:val="00872D8F"/>
    <w:rsid w:val="00873D51"/>
    <w:rsid w:val="00875786"/>
    <w:rsid w:val="00880C66"/>
    <w:rsid w:val="00880E2D"/>
    <w:rsid w:val="00881792"/>
    <w:rsid w:val="00882902"/>
    <w:rsid w:val="00882FC4"/>
    <w:rsid w:val="008833E1"/>
    <w:rsid w:val="00883947"/>
    <w:rsid w:val="0088493B"/>
    <w:rsid w:val="00885332"/>
    <w:rsid w:val="0088629B"/>
    <w:rsid w:val="00886955"/>
    <w:rsid w:val="00886A5C"/>
    <w:rsid w:val="00890737"/>
    <w:rsid w:val="00892632"/>
    <w:rsid w:val="008956E5"/>
    <w:rsid w:val="00897EE5"/>
    <w:rsid w:val="00897EF1"/>
    <w:rsid w:val="008A24BA"/>
    <w:rsid w:val="008A31C5"/>
    <w:rsid w:val="008A5F1C"/>
    <w:rsid w:val="008B04DA"/>
    <w:rsid w:val="008B1199"/>
    <w:rsid w:val="008B2E70"/>
    <w:rsid w:val="008B2F75"/>
    <w:rsid w:val="008B39AF"/>
    <w:rsid w:val="008B5BBF"/>
    <w:rsid w:val="008B68E3"/>
    <w:rsid w:val="008B6FCD"/>
    <w:rsid w:val="008B7F61"/>
    <w:rsid w:val="008C0AB3"/>
    <w:rsid w:val="008C269B"/>
    <w:rsid w:val="008C2703"/>
    <w:rsid w:val="008C4E5E"/>
    <w:rsid w:val="008C55DD"/>
    <w:rsid w:val="008C7EF7"/>
    <w:rsid w:val="008D0890"/>
    <w:rsid w:val="008E1762"/>
    <w:rsid w:val="008E3DB1"/>
    <w:rsid w:val="008E4F14"/>
    <w:rsid w:val="008E55C7"/>
    <w:rsid w:val="008E61FD"/>
    <w:rsid w:val="008E7708"/>
    <w:rsid w:val="008F3292"/>
    <w:rsid w:val="008F3A52"/>
    <w:rsid w:val="008F6663"/>
    <w:rsid w:val="008F6B3B"/>
    <w:rsid w:val="00901BF2"/>
    <w:rsid w:val="00903B6E"/>
    <w:rsid w:val="009050E6"/>
    <w:rsid w:val="0090514E"/>
    <w:rsid w:val="009053A3"/>
    <w:rsid w:val="009074BF"/>
    <w:rsid w:val="00907AB7"/>
    <w:rsid w:val="009129ED"/>
    <w:rsid w:val="00912B11"/>
    <w:rsid w:val="0091318B"/>
    <w:rsid w:val="0091379D"/>
    <w:rsid w:val="00916980"/>
    <w:rsid w:val="00920193"/>
    <w:rsid w:val="009219D2"/>
    <w:rsid w:val="00925BC6"/>
    <w:rsid w:val="00926B16"/>
    <w:rsid w:val="00930725"/>
    <w:rsid w:val="00937255"/>
    <w:rsid w:val="009411AF"/>
    <w:rsid w:val="00941330"/>
    <w:rsid w:val="00941E8D"/>
    <w:rsid w:val="00945629"/>
    <w:rsid w:val="00947C29"/>
    <w:rsid w:val="00953065"/>
    <w:rsid w:val="00953F5B"/>
    <w:rsid w:val="00954968"/>
    <w:rsid w:val="00955EFD"/>
    <w:rsid w:val="00961B3A"/>
    <w:rsid w:val="00961BA0"/>
    <w:rsid w:val="00970162"/>
    <w:rsid w:val="0097025F"/>
    <w:rsid w:val="00970757"/>
    <w:rsid w:val="009707F2"/>
    <w:rsid w:val="0097094A"/>
    <w:rsid w:val="0097255A"/>
    <w:rsid w:val="0097448E"/>
    <w:rsid w:val="009773CC"/>
    <w:rsid w:val="00980A52"/>
    <w:rsid w:val="00981570"/>
    <w:rsid w:val="00983B47"/>
    <w:rsid w:val="00987E1A"/>
    <w:rsid w:val="00992AC1"/>
    <w:rsid w:val="00994B16"/>
    <w:rsid w:val="00994EF3"/>
    <w:rsid w:val="00994FA1"/>
    <w:rsid w:val="009951CB"/>
    <w:rsid w:val="00996465"/>
    <w:rsid w:val="00997759"/>
    <w:rsid w:val="00997C74"/>
    <w:rsid w:val="00997CF6"/>
    <w:rsid w:val="009A21E3"/>
    <w:rsid w:val="009A29D8"/>
    <w:rsid w:val="009A2B20"/>
    <w:rsid w:val="009A31F6"/>
    <w:rsid w:val="009A42CF"/>
    <w:rsid w:val="009A4A7F"/>
    <w:rsid w:val="009A62B7"/>
    <w:rsid w:val="009B0C15"/>
    <w:rsid w:val="009B185D"/>
    <w:rsid w:val="009B1C9D"/>
    <w:rsid w:val="009B5195"/>
    <w:rsid w:val="009B51A1"/>
    <w:rsid w:val="009B5F94"/>
    <w:rsid w:val="009B63AB"/>
    <w:rsid w:val="009B6435"/>
    <w:rsid w:val="009C0370"/>
    <w:rsid w:val="009C11B7"/>
    <w:rsid w:val="009C154F"/>
    <w:rsid w:val="009C2B0B"/>
    <w:rsid w:val="009C3598"/>
    <w:rsid w:val="009C3838"/>
    <w:rsid w:val="009C62F2"/>
    <w:rsid w:val="009D0AE9"/>
    <w:rsid w:val="009D261A"/>
    <w:rsid w:val="009D3009"/>
    <w:rsid w:val="009D3AED"/>
    <w:rsid w:val="009D3FA4"/>
    <w:rsid w:val="009D3FEA"/>
    <w:rsid w:val="009D4DDE"/>
    <w:rsid w:val="009D5CFF"/>
    <w:rsid w:val="009D6099"/>
    <w:rsid w:val="009D6627"/>
    <w:rsid w:val="009D73D6"/>
    <w:rsid w:val="009E110D"/>
    <w:rsid w:val="009E1EB0"/>
    <w:rsid w:val="009E3681"/>
    <w:rsid w:val="009F388F"/>
    <w:rsid w:val="009F64E8"/>
    <w:rsid w:val="009F6B1E"/>
    <w:rsid w:val="009F7975"/>
    <w:rsid w:val="00A009CC"/>
    <w:rsid w:val="00A00FA5"/>
    <w:rsid w:val="00A0136B"/>
    <w:rsid w:val="00A01C82"/>
    <w:rsid w:val="00A020BC"/>
    <w:rsid w:val="00A02EE5"/>
    <w:rsid w:val="00A03F02"/>
    <w:rsid w:val="00A06786"/>
    <w:rsid w:val="00A1101F"/>
    <w:rsid w:val="00A11D21"/>
    <w:rsid w:val="00A146FD"/>
    <w:rsid w:val="00A14B58"/>
    <w:rsid w:val="00A14DC1"/>
    <w:rsid w:val="00A1526F"/>
    <w:rsid w:val="00A15DDA"/>
    <w:rsid w:val="00A15F25"/>
    <w:rsid w:val="00A17523"/>
    <w:rsid w:val="00A21966"/>
    <w:rsid w:val="00A22830"/>
    <w:rsid w:val="00A26DF9"/>
    <w:rsid w:val="00A27AAB"/>
    <w:rsid w:val="00A27E0D"/>
    <w:rsid w:val="00A27F8C"/>
    <w:rsid w:val="00A3079E"/>
    <w:rsid w:val="00A30979"/>
    <w:rsid w:val="00A31116"/>
    <w:rsid w:val="00A3145F"/>
    <w:rsid w:val="00A317A1"/>
    <w:rsid w:val="00A31ACB"/>
    <w:rsid w:val="00A31DF7"/>
    <w:rsid w:val="00A31F0F"/>
    <w:rsid w:val="00A32FB5"/>
    <w:rsid w:val="00A33447"/>
    <w:rsid w:val="00A36CE9"/>
    <w:rsid w:val="00A37F49"/>
    <w:rsid w:val="00A40126"/>
    <w:rsid w:val="00A40C0F"/>
    <w:rsid w:val="00A40D9A"/>
    <w:rsid w:val="00A417F1"/>
    <w:rsid w:val="00A41A97"/>
    <w:rsid w:val="00A437D1"/>
    <w:rsid w:val="00A43B7C"/>
    <w:rsid w:val="00A440F6"/>
    <w:rsid w:val="00A443C7"/>
    <w:rsid w:val="00A4450B"/>
    <w:rsid w:val="00A45775"/>
    <w:rsid w:val="00A463E2"/>
    <w:rsid w:val="00A50BEF"/>
    <w:rsid w:val="00A5108C"/>
    <w:rsid w:val="00A511DA"/>
    <w:rsid w:val="00A5301D"/>
    <w:rsid w:val="00A53AA6"/>
    <w:rsid w:val="00A53E63"/>
    <w:rsid w:val="00A5416E"/>
    <w:rsid w:val="00A5487B"/>
    <w:rsid w:val="00A55112"/>
    <w:rsid w:val="00A55A29"/>
    <w:rsid w:val="00A575F2"/>
    <w:rsid w:val="00A57F2C"/>
    <w:rsid w:val="00A607C9"/>
    <w:rsid w:val="00A60941"/>
    <w:rsid w:val="00A60F60"/>
    <w:rsid w:val="00A6133C"/>
    <w:rsid w:val="00A61B98"/>
    <w:rsid w:val="00A61FD0"/>
    <w:rsid w:val="00A63D6C"/>
    <w:rsid w:val="00A64C57"/>
    <w:rsid w:val="00A66967"/>
    <w:rsid w:val="00A70F00"/>
    <w:rsid w:val="00A70FE0"/>
    <w:rsid w:val="00A80CCE"/>
    <w:rsid w:val="00A826D8"/>
    <w:rsid w:val="00A849A9"/>
    <w:rsid w:val="00A92182"/>
    <w:rsid w:val="00A93AAF"/>
    <w:rsid w:val="00A93FB3"/>
    <w:rsid w:val="00A9463C"/>
    <w:rsid w:val="00A96062"/>
    <w:rsid w:val="00A960A4"/>
    <w:rsid w:val="00A96233"/>
    <w:rsid w:val="00A96F1A"/>
    <w:rsid w:val="00A973FC"/>
    <w:rsid w:val="00AA04A2"/>
    <w:rsid w:val="00AA0A56"/>
    <w:rsid w:val="00AA0B2F"/>
    <w:rsid w:val="00AA18C0"/>
    <w:rsid w:val="00AA2D7E"/>
    <w:rsid w:val="00AA44B8"/>
    <w:rsid w:val="00AA4AAA"/>
    <w:rsid w:val="00AA7921"/>
    <w:rsid w:val="00AB0419"/>
    <w:rsid w:val="00AB3841"/>
    <w:rsid w:val="00AB5513"/>
    <w:rsid w:val="00AB6702"/>
    <w:rsid w:val="00AB739B"/>
    <w:rsid w:val="00AB79EA"/>
    <w:rsid w:val="00AC1E82"/>
    <w:rsid w:val="00AC27C5"/>
    <w:rsid w:val="00AC2F1F"/>
    <w:rsid w:val="00AC3173"/>
    <w:rsid w:val="00AC3A6E"/>
    <w:rsid w:val="00AC477F"/>
    <w:rsid w:val="00AC5DF5"/>
    <w:rsid w:val="00AC6672"/>
    <w:rsid w:val="00AC6BD0"/>
    <w:rsid w:val="00AC6ED0"/>
    <w:rsid w:val="00AC7EFC"/>
    <w:rsid w:val="00AD11D6"/>
    <w:rsid w:val="00AD1902"/>
    <w:rsid w:val="00AD27BF"/>
    <w:rsid w:val="00AD3ACE"/>
    <w:rsid w:val="00AD46F1"/>
    <w:rsid w:val="00AE07A4"/>
    <w:rsid w:val="00AE0E5D"/>
    <w:rsid w:val="00AE1820"/>
    <w:rsid w:val="00AE18B1"/>
    <w:rsid w:val="00AE1BC0"/>
    <w:rsid w:val="00AE3A60"/>
    <w:rsid w:val="00AE3D7A"/>
    <w:rsid w:val="00AE4B4A"/>
    <w:rsid w:val="00AE4F4F"/>
    <w:rsid w:val="00AE5AF1"/>
    <w:rsid w:val="00AE5CB2"/>
    <w:rsid w:val="00AE5E2E"/>
    <w:rsid w:val="00AE5FA1"/>
    <w:rsid w:val="00AE7081"/>
    <w:rsid w:val="00AF2209"/>
    <w:rsid w:val="00AF26C6"/>
    <w:rsid w:val="00AF453F"/>
    <w:rsid w:val="00AF585D"/>
    <w:rsid w:val="00AF7E5A"/>
    <w:rsid w:val="00B0315F"/>
    <w:rsid w:val="00B042F8"/>
    <w:rsid w:val="00B1020B"/>
    <w:rsid w:val="00B117DB"/>
    <w:rsid w:val="00B11E47"/>
    <w:rsid w:val="00B11F46"/>
    <w:rsid w:val="00B12510"/>
    <w:rsid w:val="00B12FFD"/>
    <w:rsid w:val="00B1354D"/>
    <w:rsid w:val="00B13FD7"/>
    <w:rsid w:val="00B14A25"/>
    <w:rsid w:val="00B164B5"/>
    <w:rsid w:val="00B16A97"/>
    <w:rsid w:val="00B207E9"/>
    <w:rsid w:val="00B2089C"/>
    <w:rsid w:val="00B218D8"/>
    <w:rsid w:val="00B22271"/>
    <w:rsid w:val="00B2425E"/>
    <w:rsid w:val="00B25889"/>
    <w:rsid w:val="00B30552"/>
    <w:rsid w:val="00B314B1"/>
    <w:rsid w:val="00B3334C"/>
    <w:rsid w:val="00B35C62"/>
    <w:rsid w:val="00B36ECD"/>
    <w:rsid w:val="00B3714A"/>
    <w:rsid w:val="00B414C7"/>
    <w:rsid w:val="00B41FDC"/>
    <w:rsid w:val="00B42EFC"/>
    <w:rsid w:val="00B44A99"/>
    <w:rsid w:val="00B46C21"/>
    <w:rsid w:val="00B46C58"/>
    <w:rsid w:val="00B5109C"/>
    <w:rsid w:val="00B5318B"/>
    <w:rsid w:val="00B55D69"/>
    <w:rsid w:val="00B630A7"/>
    <w:rsid w:val="00B6415F"/>
    <w:rsid w:val="00B646AB"/>
    <w:rsid w:val="00B64A1A"/>
    <w:rsid w:val="00B67218"/>
    <w:rsid w:val="00B70118"/>
    <w:rsid w:val="00B70949"/>
    <w:rsid w:val="00B721CB"/>
    <w:rsid w:val="00B721FF"/>
    <w:rsid w:val="00B73D81"/>
    <w:rsid w:val="00B7638C"/>
    <w:rsid w:val="00B764F9"/>
    <w:rsid w:val="00B77354"/>
    <w:rsid w:val="00B81CF0"/>
    <w:rsid w:val="00B81FF3"/>
    <w:rsid w:val="00B82490"/>
    <w:rsid w:val="00B82816"/>
    <w:rsid w:val="00B8296D"/>
    <w:rsid w:val="00B8338F"/>
    <w:rsid w:val="00B84B32"/>
    <w:rsid w:val="00B87644"/>
    <w:rsid w:val="00B878E9"/>
    <w:rsid w:val="00B90ECA"/>
    <w:rsid w:val="00B92E79"/>
    <w:rsid w:val="00B948A4"/>
    <w:rsid w:val="00B96FF6"/>
    <w:rsid w:val="00B97019"/>
    <w:rsid w:val="00B972FD"/>
    <w:rsid w:val="00BA0432"/>
    <w:rsid w:val="00BA0E2B"/>
    <w:rsid w:val="00BA59E1"/>
    <w:rsid w:val="00BA5D7F"/>
    <w:rsid w:val="00BA6BA6"/>
    <w:rsid w:val="00BA6D49"/>
    <w:rsid w:val="00BA7159"/>
    <w:rsid w:val="00BA720C"/>
    <w:rsid w:val="00BB17ED"/>
    <w:rsid w:val="00BB1BA0"/>
    <w:rsid w:val="00BB1F54"/>
    <w:rsid w:val="00BB2F1C"/>
    <w:rsid w:val="00BB3A5D"/>
    <w:rsid w:val="00BB40E4"/>
    <w:rsid w:val="00BB4CAD"/>
    <w:rsid w:val="00BB64B1"/>
    <w:rsid w:val="00BB787E"/>
    <w:rsid w:val="00BB7CBD"/>
    <w:rsid w:val="00BC0210"/>
    <w:rsid w:val="00BC0697"/>
    <w:rsid w:val="00BC165A"/>
    <w:rsid w:val="00BC16B1"/>
    <w:rsid w:val="00BC2387"/>
    <w:rsid w:val="00BC4828"/>
    <w:rsid w:val="00BC63FE"/>
    <w:rsid w:val="00BC7BDE"/>
    <w:rsid w:val="00BD2537"/>
    <w:rsid w:val="00BD2FFF"/>
    <w:rsid w:val="00BD3AD2"/>
    <w:rsid w:val="00BD3BAE"/>
    <w:rsid w:val="00BD467C"/>
    <w:rsid w:val="00BD6609"/>
    <w:rsid w:val="00BD6B44"/>
    <w:rsid w:val="00BE0B0D"/>
    <w:rsid w:val="00BE1D4F"/>
    <w:rsid w:val="00BE2B5C"/>
    <w:rsid w:val="00BE5CBA"/>
    <w:rsid w:val="00BE68EB"/>
    <w:rsid w:val="00BE6F27"/>
    <w:rsid w:val="00BF0B6B"/>
    <w:rsid w:val="00BF2579"/>
    <w:rsid w:val="00BF34DD"/>
    <w:rsid w:val="00BF4756"/>
    <w:rsid w:val="00BF5722"/>
    <w:rsid w:val="00BF7E1B"/>
    <w:rsid w:val="00C004AC"/>
    <w:rsid w:val="00C00703"/>
    <w:rsid w:val="00C00F15"/>
    <w:rsid w:val="00C013BC"/>
    <w:rsid w:val="00C018B7"/>
    <w:rsid w:val="00C02647"/>
    <w:rsid w:val="00C10DEE"/>
    <w:rsid w:val="00C11A24"/>
    <w:rsid w:val="00C126A7"/>
    <w:rsid w:val="00C12F8D"/>
    <w:rsid w:val="00C1442D"/>
    <w:rsid w:val="00C159DF"/>
    <w:rsid w:val="00C15AAA"/>
    <w:rsid w:val="00C1674D"/>
    <w:rsid w:val="00C16D2D"/>
    <w:rsid w:val="00C17DE5"/>
    <w:rsid w:val="00C2013E"/>
    <w:rsid w:val="00C20DB9"/>
    <w:rsid w:val="00C212AB"/>
    <w:rsid w:val="00C24859"/>
    <w:rsid w:val="00C26659"/>
    <w:rsid w:val="00C26AC5"/>
    <w:rsid w:val="00C26E14"/>
    <w:rsid w:val="00C2758C"/>
    <w:rsid w:val="00C31191"/>
    <w:rsid w:val="00C31B59"/>
    <w:rsid w:val="00C326BB"/>
    <w:rsid w:val="00C33E13"/>
    <w:rsid w:val="00C34A33"/>
    <w:rsid w:val="00C36364"/>
    <w:rsid w:val="00C36C78"/>
    <w:rsid w:val="00C36CC4"/>
    <w:rsid w:val="00C40ED4"/>
    <w:rsid w:val="00C4163D"/>
    <w:rsid w:val="00C428C1"/>
    <w:rsid w:val="00C43420"/>
    <w:rsid w:val="00C45364"/>
    <w:rsid w:val="00C4562F"/>
    <w:rsid w:val="00C45676"/>
    <w:rsid w:val="00C458F7"/>
    <w:rsid w:val="00C45939"/>
    <w:rsid w:val="00C464C7"/>
    <w:rsid w:val="00C46A92"/>
    <w:rsid w:val="00C46E47"/>
    <w:rsid w:val="00C47A30"/>
    <w:rsid w:val="00C50C2E"/>
    <w:rsid w:val="00C50DD4"/>
    <w:rsid w:val="00C524CD"/>
    <w:rsid w:val="00C53E85"/>
    <w:rsid w:val="00C55553"/>
    <w:rsid w:val="00C5730C"/>
    <w:rsid w:val="00C57507"/>
    <w:rsid w:val="00C57FA6"/>
    <w:rsid w:val="00C60843"/>
    <w:rsid w:val="00C62AB8"/>
    <w:rsid w:val="00C632B8"/>
    <w:rsid w:val="00C65086"/>
    <w:rsid w:val="00C65A9E"/>
    <w:rsid w:val="00C7264F"/>
    <w:rsid w:val="00C739E4"/>
    <w:rsid w:val="00C74408"/>
    <w:rsid w:val="00C74DAB"/>
    <w:rsid w:val="00C76685"/>
    <w:rsid w:val="00C805BB"/>
    <w:rsid w:val="00C807E4"/>
    <w:rsid w:val="00C816BB"/>
    <w:rsid w:val="00C81761"/>
    <w:rsid w:val="00C820B3"/>
    <w:rsid w:val="00C820ED"/>
    <w:rsid w:val="00C83810"/>
    <w:rsid w:val="00C83C57"/>
    <w:rsid w:val="00C83DEF"/>
    <w:rsid w:val="00C83FB8"/>
    <w:rsid w:val="00C848BD"/>
    <w:rsid w:val="00C84F43"/>
    <w:rsid w:val="00C87C8A"/>
    <w:rsid w:val="00C87D1B"/>
    <w:rsid w:val="00C9074C"/>
    <w:rsid w:val="00C90AFB"/>
    <w:rsid w:val="00C918CA"/>
    <w:rsid w:val="00C93450"/>
    <w:rsid w:val="00C93AD4"/>
    <w:rsid w:val="00C9423E"/>
    <w:rsid w:val="00C950A4"/>
    <w:rsid w:val="00C9595B"/>
    <w:rsid w:val="00C96268"/>
    <w:rsid w:val="00CA03EC"/>
    <w:rsid w:val="00CA1EE0"/>
    <w:rsid w:val="00CA33F4"/>
    <w:rsid w:val="00CA3D39"/>
    <w:rsid w:val="00CA46F8"/>
    <w:rsid w:val="00CA4D57"/>
    <w:rsid w:val="00CA5251"/>
    <w:rsid w:val="00CA654E"/>
    <w:rsid w:val="00CA6D24"/>
    <w:rsid w:val="00CA6DA4"/>
    <w:rsid w:val="00CB25D6"/>
    <w:rsid w:val="00CB2E91"/>
    <w:rsid w:val="00CB30A5"/>
    <w:rsid w:val="00CB3A51"/>
    <w:rsid w:val="00CB4AE3"/>
    <w:rsid w:val="00CB5097"/>
    <w:rsid w:val="00CB6EB1"/>
    <w:rsid w:val="00CB6F81"/>
    <w:rsid w:val="00CB7845"/>
    <w:rsid w:val="00CC26A1"/>
    <w:rsid w:val="00CC2743"/>
    <w:rsid w:val="00CD030E"/>
    <w:rsid w:val="00CD1EBF"/>
    <w:rsid w:val="00CD4385"/>
    <w:rsid w:val="00CD5085"/>
    <w:rsid w:val="00CD51B3"/>
    <w:rsid w:val="00CD5DDB"/>
    <w:rsid w:val="00CD62B6"/>
    <w:rsid w:val="00CD65DA"/>
    <w:rsid w:val="00CD78B3"/>
    <w:rsid w:val="00CE0F76"/>
    <w:rsid w:val="00CE17B7"/>
    <w:rsid w:val="00CE1A12"/>
    <w:rsid w:val="00CE2674"/>
    <w:rsid w:val="00CE28A4"/>
    <w:rsid w:val="00CE3D5D"/>
    <w:rsid w:val="00CE3F3B"/>
    <w:rsid w:val="00CE5DC0"/>
    <w:rsid w:val="00CE5EAA"/>
    <w:rsid w:val="00CF0F29"/>
    <w:rsid w:val="00CF22F1"/>
    <w:rsid w:val="00CF2FAA"/>
    <w:rsid w:val="00CF4590"/>
    <w:rsid w:val="00CF5798"/>
    <w:rsid w:val="00CF65B9"/>
    <w:rsid w:val="00CF7DF2"/>
    <w:rsid w:val="00D02D57"/>
    <w:rsid w:val="00D037C3"/>
    <w:rsid w:val="00D044AA"/>
    <w:rsid w:val="00D056A5"/>
    <w:rsid w:val="00D06B10"/>
    <w:rsid w:val="00D10D42"/>
    <w:rsid w:val="00D10F4F"/>
    <w:rsid w:val="00D13581"/>
    <w:rsid w:val="00D160B5"/>
    <w:rsid w:val="00D17E13"/>
    <w:rsid w:val="00D202BA"/>
    <w:rsid w:val="00D215CE"/>
    <w:rsid w:val="00D23525"/>
    <w:rsid w:val="00D23962"/>
    <w:rsid w:val="00D23D57"/>
    <w:rsid w:val="00D278E0"/>
    <w:rsid w:val="00D324F8"/>
    <w:rsid w:val="00D32686"/>
    <w:rsid w:val="00D32A08"/>
    <w:rsid w:val="00D34CD8"/>
    <w:rsid w:val="00D34EF0"/>
    <w:rsid w:val="00D3510F"/>
    <w:rsid w:val="00D35491"/>
    <w:rsid w:val="00D373BE"/>
    <w:rsid w:val="00D37D44"/>
    <w:rsid w:val="00D40B7A"/>
    <w:rsid w:val="00D4165D"/>
    <w:rsid w:val="00D42D16"/>
    <w:rsid w:val="00D432B5"/>
    <w:rsid w:val="00D462D0"/>
    <w:rsid w:val="00D4770C"/>
    <w:rsid w:val="00D47B8C"/>
    <w:rsid w:val="00D505FA"/>
    <w:rsid w:val="00D518EE"/>
    <w:rsid w:val="00D520B3"/>
    <w:rsid w:val="00D527C4"/>
    <w:rsid w:val="00D54F7B"/>
    <w:rsid w:val="00D55D02"/>
    <w:rsid w:val="00D56A9D"/>
    <w:rsid w:val="00D57783"/>
    <w:rsid w:val="00D61A27"/>
    <w:rsid w:val="00D6275B"/>
    <w:rsid w:val="00D63A21"/>
    <w:rsid w:val="00D63EC6"/>
    <w:rsid w:val="00D64041"/>
    <w:rsid w:val="00D670E4"/>
    <w:rsid w:val="00D67936"/>
    <w:rsid w:val="00D679E0"/>
    <w:rsid w:val="00D67F4E"/>
    <w:rsid w:val="00D706A4"/>
    <w:rsid w:val="00D70D4D"/>
    <w:rsid w:val="00D71410"/>
    <w:rsid w:val="00D7445D"/>
    <w:rsid w:val="00D75FF2"/>
    <w:rsid w:val="00D77666"/>
    <w:rsid w:val="00D77789"/>
    <w:rsid w:val="00D81AB5"/>
    <w:rsid w:val="00D81B25"/>
    <w:rsid w:val="00D8389D"/>
    <w:rsid w:val="00D83D4F"/>
    <w:rsid w:val="00D86556"/>
    <w:rsid w:val="00D905EA"/>
    <w:rsid w:val="00D93DF9"/>
    <w:rsid w:val="00D946B2"/>
    <w:rsid w:val="00DA0AB6"/>
    <w:rsid w:val="00DA5C9F"/>
    <w:rsid w:val="00DB06A3"/>
    <w:rsid w:val="00DB13DA"/>
    <w:rsid w:val="00DB14A1"/>
    <w:rsid w:val="00DB1FCB"/>
    <w:rsid w:val="00DB2729"/>
    <w:rsid w:val="00DB2C7E"/>
    <w:rsid w:val="00DB3288"/>
    <w:rsid w:val="00DB5FC2"/>
    <w:rsid w:val="00DB6486"/>
    <w:rsid w:val="00DC0A11"/>
    <w:rsid w:val="00DC0D01"/>
    <w:rsid w:val="00DC0F9F"/>
    <w:rsid w:val="00DC4108"/>
    <w:rsid w:val="00DC492A"/>
    <w:rsid w:val="00DC4AD9"/>
    <w:rsid w:val="00DC66E7"/>
    <w:rsid w:val="00DC6B86"/>
    <w:rsid w:val="00DC7B34"/>
    <w:rsid w:val="00DC7D07"/>
    <w:rsid w:val="00DD003D"/>
    <w:rsid w:val="00DD1F3C"/>
    <w:rsid w:val="00DD233C"/>
    <w:rsid w:val="00DD24AB"/>
    <w:rsid w:val="00DD53FA"/>
    <w:rsid w:val="00DD5FCA"/>
    <w:rsid w:val="00DD61BD"/>
    <w:rsid w:val="00DE0149"/>
    <w:rsid w:val="00DE15BC"/>
    <w:rsid w:val="00DE27E9"/>
    <w:rsid w:val="00DE35B6"/>
    <w:rsid w:val="00DE6E74"/>
    <w:rsid w:val="00DF1235"/>
    <w:rsid w:val="00DF14C3"/>
    <w:rsid w:val="00DF2B72"/>
    <w:rsid w:val="00DF33C6"/>
    <w:rsid w:val="00DF588F"/>
    <w:rsid w:val="00DF6E29"/>
    <w:rsid w:val="00DF6F0E"/>
    <w:rsid w:val="00DF7674"/>
    <w:rsid w:val="00DF7D73"/>
    <w:rsid w:val="00E0169F"/>
    <w:rsid w:val="00E02CB0"/>
    <w:rsid w:val="00E02D99"/>
    <w:rsid w:val="00E034FE"/>
    <w:rsid w:val="00E03C40"/>
    <w:rsid w:val="00E05496"/>
    <w:rsid w:val="00E07292"/>
    <w:rsid w:val="00E10F02"/>
    <w:rsid w:val="00E1182F"/>
    <w:rsid w:val="00E12EC4"/>
    <w:rsid w:val="00E14356"/>
    <w:rsid w:val="00E16DC4"/>
    <w:rsid w:val="00E1723A"/>
    <w:rsid w:val="00E1786F"/>
    <w:rsid w:val="00E21915"/>
    <w:rsid w:val="00E23AF7"/>
    <w:rsid w:val="00E249E8"/>
    <w:rsid w:val="00E258FC"/>
    <w:rsid w:val="00E2612D"/>
    <w:rsid w:val="00E26215"/>
    <w:rsid w:val="00E30258"/>
    <w:rsid w:val="00E32945"/>
    <w:rsid w:val="00E3514F"/>
    <w:rsid w:val="00E3731D"/>
    <w:rsid w:val="00E378B9"/>
    <w:rsid w:val="00E40D08"/>
    <w:rsid w:val="00E41267"/>
    <w:rsid w:val="00E4163D"/>
    <w:rsid w:val="00E41F25"/>
    <w:rsid w:val="00E432E6"/>
    <w:rsid w:val="00E46AC6"/>
    <w:rsid w:val="00E4717A"/>
    <w:rsid w:val="00E5203E"/>
    <w:rsid w:val="00E53109"/>
    <w:rsid w:val="00E553A4"/>
    <w:rsid w:val="00E5545B"/>
    <w:rsid w:val="00E55D12"/>
    <w:rsid w:val="00E563F4"/>
    <w:rsid w:val="00E56F62"/>
    <w:rsid w:val="00E57495"/>
    <w:rsid w:val="00E6020A"/>
    <w:rsid w:val="00E61100"/>
    <w:rsid w:val="00E61DD9"/>
    <w:rsid w:val="00E61E32"/>
    <w:rsid w:val="00E6202F"/>
    <w:rsid w:val="00E66CAF"/>
    <w:rsid w:val="00E7012A"/>
    <w:rsid w:val="00E71711"/>
    <w:rsid w:val="00E750C7"/>
    <w:rsid w:val="00E77954"/>
    <w:rsid w:val="00E80260"/>
    <w:rsid w:val="00E802C4"/>
    <w:rsid w:val="00E8063E"/>
    <w:rsid w:val="00E80E2C"/>
    <w:rsid w:val="00E81771"/>
    <w:rsid w:val="00E81F06"/>
    <w:rsid w:val="00E82DD6"/>
    <w:rsid w:val="00E82F5C"/>
    <w:rsid w:val="00E85DCE"/>
    <w:rsid w:val="00E87970"/>
    <w:rsid w:val="00E909F1"/>
    <w:rsid w:val="00E9148D"/>
    <w:rsid w:val="00E91CAB"/>
    <w:rsid w:val="00E9288B"/>
    <w:rsid w:val="00E92D79"/>
    <w:rsid w:val="00E93A07"/>
    <w:rsid w:val="00E93BFC"/>
    <w:rsid w:val="00E9433B"/>
    <w:rsid w:val="00E94358"/>
    <w:rsid w:val="00E97587"/>
    <w:rsid w:val="00E9785F"/>
    <w:rsid w:val="00E978CC"/>
    <w:rsid w:val="00E97D05"/>
    <w:rsid w:val="00E97FC4"/>
    <w:rsid w:val="00EA0F9B"/>
    <w:rsid w:val="00EA1507"/>
    <w:rsid w:val="00EA2F44"/>
    <w:rsid w:val="00EA35EF"/>
    <w:rsid w:val="00EA48E8"/>
    <w:rsid w:val="00EA52B8"/>
    <w:rsid w:val="00EA5A99"/>
    <w:rsid w:val="00EB13C7"/>
    <w:rsid w:val="00EB19A6"/>
    <w:rsid w:val="00EB1FBC"/>
    <w:rsid w:val="00EB2F30"/>
    <w:rsid w:val="00EB3F18"/>
    <w:rsid w:val="00EB4576"/>
    <w:rsid w:val="00EB6DBB"/>
    <w:rsid w:val="00EB7097"/>
    <w:rsid w:val="00EB70AB"/>
    <w:rsid w:val="00EB7149"/>
    <w:rsid w:val="00EC0779"/>
    <w:rsid w:val="00EC285B"/>
    <w:rsid w:val="00EC2AE6"/>
    <w:rsid w:val="00EC2DEE"/>
    <w:rsid w:val="00EC475C"/>
    <w:rsid w:val="00EC588C"/>
    <w:rsid w:val="00EC5E01"/>
    <w:rsid w:val="00EC5E71"/>
    <w:rsid w:val="00EC5F43"/>
    <w:rsid w:val="00EC6035"/>
    <w:rsid w:val="00EC6172"/>
    <w:rsid w:val="00EC67BF"/>
    <w:rsid w:val="00EC7218"/>
    <w:rsid w:val="00EC7CCB"/>
    <w:rsid w:val="00EC7DC8"/>
    <w:rsid w:val="00ED03F3"/>
    <w:rsid w:val="00ED0885"/>
    <w:rsid w:val="00ED16B1"/>
    <w:rsid w:val="00ED1C1B"/>
    <w:rsid w:val="00ED36EF"/>
    <w:rsid w:val="00EE1D7F"/>
    <w:rsid w:val="00EE32FA"/>
    <w:rsid w:val="00EE4AE6"/>
    <w:rsid w:val="00EE4C82"/>
    <w:rsid w:val="00EE67DA"/>
    <w:rsid w:val="00EE683E"/>
    <w:rsid w:val="00EE6DAD"/>
    <w:rsid w:val="00EE6E8C"/>
    <w:rsid w:val="00EF0F64"/>
    <w:rsid w:val="00EF21A8"/>
    <w:rsid w:val="00EF35E4"/>
    <w:rsid w:val="00EF37C4"/>
    <w:rsid w:val="00EF57A3"/>
    <w:rsid w:val="00EF60BC"/>
    <w:rsid w:val="00EF7A5D"/>
    <w:rsid w:val="00F0046B"/>
    <w:rsid w:val="00F01D58"/>
    <w:rsid w:val="00F04E33"/>
    <w:rsid w:val="00F04FAE"/>
    <w:rsid w:val="00F05059"/>
    <w:rsid w:val="00F058B7"/>
    <w:rsid w:val="00F06293"/>
    <w:rsid w:val="00F07085"/>
    <w:rsid w:val="00F1042B"/>
    <w:rsid w:val="00F13475"/>
    <w:rsid w:val="00F13DCF"/>
    <w:rsid w:val="00F14A39"/>
    <w:rsid w:val="00F16957"/>
    <w:rsid w:val="00F17161"/>
    <w:rsid w:val="00F21510"/>
    <w:rsid w:val="00F2308F"/>
    <w:rsid w:val="00F239E4"/>
    <w:rsid w:val="00F24176"/>
    <w:rsid w:val="00F248FE"/>
    <w:rsid w:val="00F26829"/>
    <w:rsid w:val="00F324D8"/>
    <w:rsid w:val="00F326EF"/>
    <w:rsid w:val="00F33034"/>
    <w:rsid w:val="00F33E47"/>
    <w:rsid w:val="00F34217"/>
    <w:rsid w:val="00F36854"/>
    <w:rsid w:val="00F36D15"/>
    <w:rsid w:val="00F37882"/>
    <w:rsid w:val="00F44311"/>
    <w:rsid w:val="00F459D8"/>
    <w:rsid w:val="00F479E4"/>
    <w:rsid w:val="00F51806"/>
    <w:rsid w:val="00F51F3D"/>
    <w:rsid w:val="00F52B50"/>
    <w:rsid w:val="00F52CD2"/>
    <w:rsid w:val="00F53537"/>
    <w:rsid w:val="00F54BF3"/>
    <w:rsid w:val="00F57850"/>
    <w:rsid w:val="00F6038E"/>
    <w:rsid w:val="00F65258"/>
    <w:rsid w:val="00F65A12"/>
    <w:rsid w:val="00F661F0"/>
    <w:rsid w:val="00F66484"/>
    <w:rsid w:val="00F6773F"/>
    <w:rsid w:val="00F67A89"/>
    <w:rsid w:val="00F67DEF"/>
    <w:rsid w:val="00F70278"/>
    <w:rsid w:val="00F70FEF"/>
    <w:rsid w:val="00F71F1E"/>
    <w:rsid w:val="00F73938"/>
    <w:rsid w:val="00F75750"/>
    <w:rsid w:val="00F81196"/>
    <w:rsid w:val="00F8263E"/>
    <w:rsid w:val="00F82CA2"/>
    <w:rsid w:val="00F830F0"/>
    <w:rsid w:val="00F8524C"/>
    <w:rsid w:val="00F902EC"/>
    <w:rsid w:val="00F934DE"/>
    <w:rsid w:val="00F93CA0"/>
    <w:rsid w:val="00F9485F"/>
    <w:rsid w:val="00F95499"/>
    <w:rsid w:val="00F95940"/>
    <w:rsid w:val="00F963A1"/>
    <w:rsid w:val="00FA0B7F"/>
    <w:rsid w:val="00FA177E"/>
    <w:rsid w:val="00FA2A65"/>
    <w:rsid w:val="00FA4D07"/>
    <w:rsid w:val="00FA65A7"/>
    <w:rsid w:val="00FB1CEA"/>
    <w:rsid w:val="00FB280E"/>
    <w:rsid w:val="00FB28F5"/>
    <w:rsid w:val="00FB3097"/>
    <w:rsid w:val="00FB32AD"/>
    <w:rsid w:val="00FB3471"/>
    <w:rsid w:val="00FB4023"/>
    <w:rsid w:val="00FB5517"/>
    <w:rsid w:val="00FB5DC4"/>
    <w:rsid w:val="00FB5EA0"/>
    <w:rsid w:val="00FB7CA0"/>
    <w:rsid w:val="00FC1BCE"/>
    <w:rsid w:val="00FC2330"/>
    <w:rsid w:val="00FC2AFD"/>
    <w:rsid w:val="00FC656F"/>
    <w:rsid w:val="00FC6C0E"/>
    <w:rsid w:val="00FD1039"/>
    <w:rsid w:val="00FD23C3"/>
    <w:rsid w:val="00FD2CE8"/>
    <w:rsid w:val="00FD35AD"/>
    <w:rsid w:val="00FD38F7"/>
    <w:rsid w:val="00FD4233"/>
    <w:rsid w:val="00FD6423"/>
    <w:rsid w:val="00FD7040"/>
    <w:rsid w:val="00FE5881"/>
    <w:rsid w:val="00FE61F5"/>
    <w:rsid w:val="00FE7D5C"/>
    <w:rsid w:val="00FF09C0"/>
    <w:rsid w:val="00FF0A9D"/>
    <w:rsid w:val="00FF17C4"/>
    <w:rsid w:val="00FF1D6F"/>
    <w:rsid w:val="00FF311A"/>
    <w:rsid w:val="00FF6035"/>
    <w:rsid w:val="00FF6CA0"/>
    <w:rsid w:val="00FF6DE4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1320B"/>
  <w15:chartTrackingRefBased/>
  <w15:docId w15:val="{B1B1D3EB-A55F-45C7-A2FF-B54748A6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0B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018D"/>
    <w:pPr>
      <w:ind w:firstLineChars="200" w:firstLine="420"/>
    </w:pPr>
  </w:style>
  <w:style w:type="paragraph" w:customStyle="1" w:styleId="Default">
    <w:name w:val="Default"/>
    <w:rsid w:val="0094133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C5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88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9595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9595B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069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C069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BC06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069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C0697"/>
    <w:rPr>
      <w:b/>
      <w:bCs/>
    </w:rPr>
  </w:style>
  <w:style w:type="paragraph" w:styleId="af0">
    <w:name w:val="Revision"/>
    <w:hidden/>
    <w:uiPriority w:val="99"/>
    <w:semiHidden/>
    <w:rsid w:val="00B11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3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Jian</dc:creator>
  <cp:keywords/>
  <dc:description/>
  <cp:lastModifiedBy>Jian1 Zhao</cp:lastModifiedBy>
  <cp:revision>9</cp:revision>
  <dcterms:created xsi:type="dcterms:W3CDTF">2025-10-17T07:20:00Z</dcterms:created>
  <dcterms:modified xsi:type="dcterms:W3CDTF">2025-10-17T07:41:00Z</dcterms:modified>
</cp:coreProperties>
</file>