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20" w:line="259" w:lineRule="auto"/>
        <w:jc w:val="left"/>
        <w:rPr>
          <w:rFonts w:ascii="Calibri" w:hAnsi="Calibri" w:eastAsia="Times New Roman" w:cs="Calibri"/>
          <w:color w:val="000000"/>
          <w:sz w:val="22"/>
        </w:rPr>
      </w:pPr>
      <w:r>
        <w:rPr>
          <w:rFonts w:hint="eastAsia" w:ascii="宋体" w:hAnsi="宋体" w:eastAsia="宋体" w:cs="宋体"/>
          <w:color w:val="000000"/>
          <w:sz w:val="24"/>
        </w:rPr>
        <w:t>证券代码：</w:t>
      </w:r>
      <w:r>
        <w:rPr>
          <w:rFonts w:ascii="宋体" w:hAnsi="宋体" w:eastAsia="宋体" w:cs="宋体"/>
          <w:color w:val="000000"/>
          <w:sz w:val="24"/>
        </w:rPr>
        <w:t xml:space="preserve">688328                                    </w:t>
      </w:r>
      <w:r>
        <w:rPr>
          <w:rFonts w:hint="eastAsia" w:ascii="宋体" w:hAnsi="宋体" w:eastAsia="宋体" w:cs="宋体"/>
          <w:color w:val="000000"/>
          <w:sz w:val="24"/>
        </w:rPr>
        <w:t>证券简称：深科达</w:t>
      </w:r>
      <w:r>
        <w:rPr>
          <w:rFonts w:ascii="宋体" w:hAnsi="宋体" w:eastAsia="宋体" w:cs="宋体"/>
          <w:color w:val="000000"/>
          <w:sz w:val="24"/>
        </w:rPr>
        <w:t xml:space="preserve">                                          </w:t>
      </w:r>
    </w:p>
    <w:p>
      <w:pPr>
        <w:widowControl/>
        <w:spacing w:after="217" w:line="259" w:lineRule="auto"/>
        <w:ind w:firstLine="1606" w:firstLineChars="500"/>
        <w:jc w:val="left"/>
        <w:rPr>
          <w:rFonts w:ascii="宋体" w:hAnsi="宋体" w:eastAsia="宋体" w:cs="宋体"/>
          <w:b/>
          <w:color w:val="000000"/>
          <w:sz w:val="32"/>
        </w:rPr>
      </w:pPr>
      <w:r>
        <w:rPr>
          <w:rFonts w:hint="eastAsia" w:ascii="宋体" w:hAnsi="宋体" w:eastAsia="宋体" w:cs="宋体"/>
          <w:b/>
          <w:color w:val="000000"/>
          <w:sz w:val="32"/>
        </w:rPr>
        <w:t>深圳市深科达智能装备股份有限公司</w:t>
      </w:r>
    </w:p>
    <w:p>
      <w:pPr>
        <w:widowControl/>
        <w:spacing w:line="259" w:lineRule="auto"/>
        <w:ind w:firstLine="2570" w:firstLineChars="800"/>
        <w:jc w:val="left"/>
        <w:rPr>
          <w:rFonts w:ascii="宋体" w:hAnsi="宋体" w:eastAsia="宋体" w:cs="宋体"/>
          <w:b/>
          <w:color w:val="000000"/>
          <w:sz w:val="32"/>
        </w:rPr>
      </w:pPr>
      <w:r>
        <w:rPr>
          <w:rFonts w:hint="eastAsia" w:ascii="宋体" w:hAnsi="宋体" w:eastAsia="宋体" w:cs="宋体"/>
          <w:b/>
          <w:color w:val="000000"/>
          <w:sz w:val="32"/>
        </w:rPr>
        <w:t>投资者关系活动记录表</w:t>
      </w:r>
    </w:p>
    <w:p>
      <w:pPr>
        <w:widowControl/>
        <w:spacing w:line="259" w:lineRule="auto"/>
        <w:ind w:left="1179"/>
        <w:jc w:val="right"/>
        <w:rPr>
          <w:rFonts w:ascii="Calibri" w:hAnsi="Calibri" w:eastAsia="Times New Roman" w:cs="Calibri"/>
          <w:color w:val="000000"/>
          <w:sz w:val="22"/>
        </w:rPr>
      </w:pPr>
    </w:p>
    <w:tbl>
      <w:tblPr>
        <w:tblStyle w:val="9"/>
        <w:tblW w:w="9976" w:type="dxa"/>
        <w:tblInd w:w="-743" w:type="dxa"/>
        <w:tblLayout w:type="fixed"/>
        <w:tblCellMar>
          <w:top w:w="0" w:type="dxa"/>
          <w:left w:w="108" w:type="dxa"/>
          <w:bottom w:w="41" w:type="dxa"/>
          <w:right w:w="0" w:type="dxa"/>
        </w:tblCellMar>
      </w:tblPr>
      <w:tblGrid>
        <w:gridCol w:w="2100"/>
        <w:gridCol w:w="7876"/>
      </w:tblGrid>
      <w:tr>
        <w:tblPrEx>
          <w:tblLayout w:type="fixed"/>
          <w:tblCellMar>
            <w:top w:w="0" w:type="dxa"/>
            <w:left w:w="108" w:type="dxa"/>
            <w:bottom w:w="41" w:type="dxa"/>
            <w:right w:w="0" w:type="dxa"/>
          </w:tblCellMar>
        </w:tblPrEx>
        <w:trPr>
          <w:trHeight w:val="2413"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360" w:lineRule="auto"/>
              <w:jc w:val="center"/>
              <w:rPr>
                <w:rFonts w:ascii="宋体" w:hAnsi="宋体" w:eastAsia="宋体" w:cs="Calibri"/>
                <w:b/>
                <w:color w:val="000000"/>
                <w:sz w:val="24"/>
                <w:szCs w:val="24"/>
              </w:rPr>
            </w:pPr>
            <w:r>
              <w:rPr>
                <w:rFonts w:hint="eastAsia" w:ascii="宋体" w:hAnsi="宋体" w:eastAsia="宋体" w:cs="宋体"/>
                <w:b/>
                <w:color w:val="000000"/>
                <w:sz w:val="24"/>
                <w:szCs w:val="24"/>
              </w:rPr>
              <w:t>投资者关系活动类别</w:t>
            </w:r>
          </w:p>
        </w:tc>
        <w:tc>
          <w:tcPr>
            <w:tcW w:w="7876" w:type="dxa"/>
            <w:tcBorders>
              <w:top w:val="single" w:color="000000" w:sz="4" w:space="0"/>
              <w:left w:val="single" w:color="000000" w:sz="4" w:space="0"/>
              <w:bottom w:val="single" w:color="000000" w:sz="4" w:space="0"/>
              <w:right w:val="single" w:color="000000" w:sz="4" w:space="0"/>
            </w:tcBorders>
            <w:vAlign w:val="bottom"/>
          </w:tcPr>
          <w:p>
            <w:pPr>
              <w:widowControl/>
              <w:snapToGrid w:val="0"/>
              <w:spacing w:after="0" w:line="360" w:lineRule="auto"/>
              <w:jc w:val="left"/>
              <w:rPr>
                <w:rFonts w:ascii="宋体" w:hAnsi="宋体" w:eastAsia="宋体" w:cs="Calibri"/>
                <w:color w:val="000000"/>
                <w:sz w:val="24"/>
                <w:szCs w:val="24"/>
              </w:rPr>
            </w:pPr>
            <w:r>
              <w:rPr>
                <w:rFonts w:ascii="宋体" w:hAnsi="宋体" w:eastAsia="宋体" w:cs="宋体"/>
                <w:color w:val="000000"/>
                <w:sz w:val="24"/>
                <w:szCs w:val="24"/>
              </w:rPr>
              <w:t>□</w:t>
            </w:r>
            <w:r>
              <w:rPr>
                <w:rFonts w:hint="eastAsia" w:ascii="宋体" w:hAnsi="宋体" w:eastAsia="宋体" w:cs="宋体"/>
                <w:color w:val="000000"/>
                <w:sz w:val="24"/>
                <w:szCs w:val="24"/>
              </w:rPr>
              <w:t>特定对象调研</w:t>
            </w:r>
            <w:r>
              <w:rPr>
                <w:rFonts w:ascii="宋体" w:hAnsi="宋体" w:eastAsia="宋体" w:cs="宋体"/>
                <w:color w:val="000000"/>
                <w:sz w:val="24"/>
                <w:szCs w:val="24"/>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分析师会议</w:t>
            </w:r>
            <w:r>
              <w:rPr>
                <w:rFonts w:ascii="宋体" w:hAnsi="宋体" w:eastAsia="宋体" w:cs="宋体"/>
                <w:color w:val="000000"/>
                <w:sz w:val="24"/>
                <w:szCs w:val="24"/>
              </w:rPr>
              <w:t xml:space="preserve"> </w:t>
            </w:r>
          </w:p>
          <w:p>
            <w:pPr>
              <w:widowControl/>
              <w:snapToGrid w:val="0"/>
              <w:spacing w:after="0" w:line="360" w:lineRule="auto"/>
              <w:jc w:val="left"/>
              <w:rPr>
                <w:rFonts w:ascii="宋体" w:hAnsi="宋体" w:eastAsia="宋体" w:cs="Calibri"/>
                <w:color w:val="000000"/>
                <w:sz w:val="24"/>
                <w:szCs w:val="24"/>
              </w:rPr>
            </w:pPr>
            <w:r>
              <w:rPr>
                <w:rFonts w:ascii="宋体" w:hAnsi="宋体" w:eastAsia="宋体" w:cs="宋体"/>
                <w:color w:val="000000"/>
                <w:sz w:val="24"/>
                <w:szCs w:val="24"/>
              </w:rPr>
              <w:t>□</w:t>
            </w:r>
            <w:r>
              <w:rPr>
                <w:rFonts w:hint="eastAsia" w:ascii="宋体" w:hAnsi="宋体" w:eastAsia="宋体" w:cs="宋体"/>
                <w:color w:val="000000"/>
                <w:sz w:val="24"/>
                <w:szCs w:val="24"/>
              </w:rPr>
              <w:t>媒体采访</w:t>
            </w:r>
            <w:r>
              <w:rPr>
                <w:rFonts w:ascii="宋体" w:hAnsi="宋体" w:eastAsia="宋体" w:cs="宋体"/>
                <w:color w:val="000000"/>
                <w:sz w:val="24"/>
                <w:szCs w:val="24"/>
              </w:rPr>
              <w:t xml:space="preserve">            </w:t>
            </w:r>
            <w:r>
              <w:rPr>
                <w:rFonts w:hint="eastAsia" w:ascii="宋体" w:hAnsi="宋体" w:eastAsia="宋体" w:cs="宋体"/>
                <w:color w:val="000000"/>
                <w:sz w:val="24"/>
                <w:szCs w:val="24"/>
              </w:rPr>
              <w:t>□业绩说明会</w:t>
            </w:r>
            <w:r>
              <w:rPr>
                <w:rFonts w:ascii="宋体" w:hAnsi="宋体" w:eastAsia="宋体" w:cs="宋体"/>
                <w:color w:val="000000"/>
                <w:sz w:val="24"/>
                <w:szCs w:val="24"/>
              </w:rPr>
              <w:t xml:space="preserve"> </w:t>
            </w:r>
          </w:p>
          <w:p>
            <w:pPr>
              <w:widowControl/>
              <w:snapToGrid w:val="0"/>
              <w:spacing w:after="0" w:line="360" w:lineRule="auto"/>
              <w:jc w:val="left"/>
              <w:rPr>
                <w:rFonts w:ascii="宋体" w:hAnsi="宋体" w:eastAsia="宋体" w:cs="Calibri"/>
                <w:color w:val="000000"/>
                <w:sz w:val="24"/>
                <w:szCs w:val="24"/>
              </w:rPr>
            </w:pPr>
            <w:r>
              <w:rPr>
                <w:rFonts w:ascii="宋体" w:hAnsi="宋体" w:eastAsia="宋体" w:cs="宋体"/>
                <w:color w:val="000000"/>
                <w:sz w:val="24"/>
                <w:szCs w:val="24"/>
              </w:rPr>
              <w:t>□</w:t>
            </w:r>
            <w:r>
              <w:rPr>
                <w:rFonts w:hint="eastAsia" w:ascii="宋体" w:hAnsi="宋体" w:eastAsia="宋体" w:cs="宋体"/>
                <w:color w:val="000000"/>
                <w:sz w:val="24"/>
                <w:szCs w:val="24"/>
              </w:rPr>
              <w:t>新闻发布会</w:t>
            </w:r>
            <w:r>
              <w:rPr>
                <w:rFonts w:ascii="宋体" w:hAnsi="宋体" w:eastAsia="宋体" w:cs="宋体"/>
                <w:color w:val="000000"/>
                <w:sz w:val="24"/>
                <w:szCs w:val="24"/>
              </w:rPr>
              <w:t xml:space="preserve">          □</w:t>
            </w:r>
            <w:r>
              <w:rPr>
                <w:rFonts w:hint="eastAsia" w:ascii="宋体" w:hAnsi="宋体" w:eastAsia="宋体" w:cs="宋体"/>
                <w:color w:val="000000"/>
                <w:sz w:val="24"/>
                <w:szCs w:val="24"/>
              </w:rPr>
              <w:t>路演活动</w:t>
            </w:r>
            <w:r>
              <w:rPr>
                <w:rFonts w:ascii="宋体" w:hAnsi="宋体" w:eastAsia="宋体" w:cs="宋体"/>
                <w:color w:val="000000"/>
                <w:sz w:val="24"/>
                <w:szCs w:val="24"/>
              </w:rPr>
              <w:t xml:space="preserve"> </w:t>
            </w:r>
          </w:p>
          <w:p>
            <w:pPr>
              <w:widowControl/>
              <w:snapToGrid w:val="0"/>
              <w:spacing w:after="0" w:line="360" w:lineRule="auto"/>
              <w:jc w:val="left"/>
              <w:rPr>
                <w:rFonts w:ascii="宋体" w:hAnsi="宋体" w:eastAsia="宋体" w:cs="Calibri"/>
                <w:color w:val="000000"/>
                <w:sz w:val="24"/>
                <w:szCs w:val="24"/>
              </w:rPr>
            </w:pPr>
            <w:r>
              <w:rPr>
                <w:rFonts w:hint="eastAsia" w:ascii="宋体" w:hAnsi="宋体" w:eastAsia="宋体" w:cs="宋体"/>
                <w:color w:val="000000"/>
                <w:sz w:val="24"/>
                <w:szCs w:val="24"/>
              </w:rPr>
              <w:t>■现场参观</w:t>
            </w:r>
            <w:r>
              <w:rPr>
                <w:rFonts w:ascii="宋体" w:hAnsi="宋体" w:eastAsia="宋体" w:cs="宋体"/>
                <w:color w:val="000000"/>
                <w:sz w:val="24"/>
                <w:szCs w:val="24"/>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一对一沟通</w:t>
            </w:r>
            <w:r>
              <w:rPr>
                <w:rFonts w:ascii="宋体" w:hAnsi="宋体" w:eastAsia="宋体" w:cs="宋体"/>
                <w:color w:val="000000"/>
                <w:sz w:val="24"/>
                <w:szCs w:val="24"/>
              </w:rPr>
              <w:t xml:space="preserve"> </w:t>
            </w:r>
          </w:p>
          <w:p>
            <w:pPr>
              <w:widowControl/>
              <w:snapToGrid w:val="0"/>
              <w:spacing w:after="0" w:line="360" w:lineRule="auto"/>
              <w:jc w:val="left"/>
              <w:rPr>
                <w:rFonts w:ascii="宋体" w:hAnsi="宋体" w:eastAsia="宋体" w:cs="Calibri"/>
                <w:color w:val="000000"/>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其他</w:t>
            </w:r>
            <w:r>
              <w:rPr>
                <w:rFonts w:ascii="宋体" w:hAnsi="宋体" w:eastAsia="宋体" w:cs="宋体"/>
                <w:color w:val="000000"/>
                <w:sz w:val="24"/>
                <w:szCs w:val="24"/>
              </w:rPr>
              <w:t xml:space="preserve">  </w:t>
            </w:r>
          </w:p>
        </w:tc>
      </w:tr>
      <w:tr>
        <w:tblPrEx>
          <w:tblLayout w:type="fixed"/>
          <w:tblCellMar>
            <w:top w:w="0" w:type="dxa"/>
            <w:left w:w="108" w:type="dxa"/>
            <w:bottom w:w="41" w:type="dxa"/>
            <w:right w:w="0" w:type="dxa"/>
          </w:tblCellMar>
        </w:tblPrEx>
        <w:trPr>
          <w:trHeight w:val="141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360" w:lineRule="auto"/>
              <w:jc w:val="left"/>
              <w:rPr>
                <w:rFonts w:ascii="宋体" w:hAnsi="宋体" w:eastAsia="宋体" w:cs="宋体"/>
                <w:color w:val="000000"/>
                <w:sz w:val="24"/>
                <w:szCs w:val="24"/>
              </w:rPr>
            </w:pPr>
            <w:r>
              <w:rPr>
                <w:rFonts w:hint="eastAsia" w:ascii="宋体" w:hAnsi="宋体" w:eastAsia="宋体" w:cs="宋体"/>
                <w:b/>
                <w:color w:val="000000"/>
                <w:sz w:val="24"/>
                <w:szCs w:val="24"/>
              </w:rPr>
              <w:t>参与单位</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jc w:val="left"/>
              <w:rPr>
                <w:rFonts w:ascii="宋体" w:hAnsi="宋体" w:eastAsia="宋体" w:cs="宋体"/>
                <w:color w:val="000000"/>
                <w:sz w:val="24"/>
                <w:szCs w:val="24"/>
              </w:rPr>
            </w:pPr>
            <w:r>
              <w:rPr>
                <w:rFonts w:hint="eastAsia" w:ascii="宋体" w:hAnsi="宋体" w:eastAsia="宋体" w:cs="宋体"/>
                <w:color w:val="000000"/>
                <w:sz w:val="24"/>
                <w:szCs w:val="24"/>
              </w:rPr>
              <w:t>旭辉资产</w:t>
            </w:r>
            <w:r>
              <w:rPr>
                <w:rFonts w:ascii="宋体" w:hAnsi="宋体" w:eastAsia="宋体" w:cs="宋体"/>
                <w:color w:val="000000"/>
                <w:sz w:val="24"/>
                <w:szCs w:val="24"/>
              </w:rPr>
              <w:t xml:space="preserve">  信达证券  中财招商投资  云路新能源  加法创投  辰锋资本</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 明达资产  深圳拓扑资本  高辰资本  稳正投资 前海百事泰</w:t>
            </w:r>
            <w:r>
              <w:rPr>
                <w:rFonts w:hint="eastAsia" w:ascii="宋体" w:hAnsi="宋体" w:eastAsia="宋体" w:cs="宋体"/>
                <w:color w:val="000000"/>
                <w:sz w:val="24"/>
                <w:szCs w:val="24"/>
                <w:lang w:val="en-US" w:eastAsia="zh-CN"/>
              </w:rPr>
              <w:t xml:space="preserve"> </w:t>
            </w:r>
            <w:r>
              <w:rPr>
                <w:rFonts w:ascii="宋体" w:hAnsi="宋体" w:eastAsia="宋体" w:cs="宋体"/>
                <w:color w:val="000000"/>
                <w:sz w:val="24"/>
                <w:szCs w:val="24"/>
              </w:rPr>
              <w:t>小维塔投资  深商中汇控股  前海骏杰资产  财富圈基金  格行资产  红钧资本</w:t>
            </w:r>
          </w:p>
        </w:tc>
      </w:tr>
      <w:tr>
        <w:tblPrEx>
          <w:tblLayout w:type="fixed"/>
          <w:tblCellMar>
            <w:top w:w="0" w:type="dxa"/>
            <w:left w:w="108" w:type="dxa"/>
            <w:bottom w:w="41" w:type="dxa"/>
            <w:right w:w="0" w:type="dxa"/>
          </w:tblCellMar>
        </w:tblPrEx>
        <w:trPr>
          <w:trHeight w:val="56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ind w:right="110"/>
              <w:jc w:val="left"/>
              <w:rPr>
                <w:rFonts w:ascii="宋体" w:hAnsi="宋体" w:eastAsia="宋体" w:cs="Calibri"/>
                <w:b/>
                <w:color w:val="000000"/>
                <w:sz w:val="24"/>
                <w:szCs w:val="24"/>
              </w:rPr>
            </w:pPr>
            <w:r>
              <w:rPr>
                <w:rFonts w:hint="eastAsia" w:ascii="宋体" w:hAnsi="宋体" w:eastAsia="宋体" w:cs="宋体"/>
                <w:b/>
                <w:color w:val="000000"/>
                <w:sz w:val="24"/>
                <w:szCs w:val="24"/>
              </w:rPr>
              <w:t>时间</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jc w:val="left"/>
              <w:rPr>
                <w:rFonts w:ascii="宋体" w:hAnsi="宋体" w:eastAsia="宋体" w:cs="Calibri"/>
                <w:color w:val="000000"/>
                <w:sz w:val="24"/>
                <w:szCs w:val="24"/>
              </w:rPr>
            </w:pPr>
            <w:r>
              <w:rPr>
                <w:rFonts w:ascii="宋体" w:hAnsi="宋体" w:eastAsia="宋体" w:cs="Calibri"/>
                <w:color w:val="000000"/>
                <w:sz w:val="24"/>
                <w:szCs w:val="24"/>
              </w:rPr>
              <w:t>202</w:t>
            </w:r>
            <w:r>
              <w:rPr>
                <w:rFonts w:hint="eastAsia" w:ascii="宋体" w:hAnsi="宋体" w:eastAsia="宋体" w:cs="Calibri"/>
                <w:color w:val="000000"/>
                <w:sz w:val="24"/>
                <w:szCs w:val="24"/>
              </w:rPr>
              <w:t>5年</w:t>
            </w:r>
            <w:r>
              <w:rPr>
                <w:rFonts w:ascii="宋体" w:hAnsi="宋体" w:eastAsia="宋体" w:cs="Calibri"/>
                <w:color w:val="000000"/>
                <w:sz w:val="24"/>
                <w:szCs w:val="24"/>
              </w:rPr>
              <w:t>10</w:t>
            </w:r>
            <w:r>
              <w:rPr>
                <w:rFonts w:hint="eastAsia" w:ascii="宋体" w:hAnsi="宋体" w:eastAsia="宋体" w:cs="Calibri"/>
                <w:color w:val="000000"/>
                <w:sz w:val="24"/>
                <w:szCs w:val="24"/>
              </w:rPr>
              <w:t>月1</w:t>
            </w:r>
            <w:r>
              <w:rPr>
                <w:rFonts w:ascii="宋体" w:hAnsi="宋体" w:eastAsia="宋体" w:cs="Calibri"/>
                <w:color w:val="000000"/>
                <w:sz w:val="24"/>
                <w:szCs w:val="24"/>
              </w:rPr>
              <w:t>7</w:t>
            </w:r>
            <w:r>
              <w:rPr>
                <w:rFonts w:hint="eastAsia" w:ascii="宋体" w:hAnsi="宋体" w:eastAsia="宋体" w:cs="Calibri"/>
                <w:color w:val="000000"/>
                <w:sz w:val="24"/>
                <w:szCs w:val="24"/>
              </w:rPr>
              <w:t>日</w:t>
            </w:r>
          </w:p>
        </w:tc>
      </w:tr>
      <w:tr>
        <w:tblPrEx>
          <w:tblLayout w:type="fixed"/>
          <w:tblCellMar>
            <w:top w:w="0" w:type="dxa"/>
            <w:left w:w="108" w:type="dxa"/>
            <w:bottom w:w="41" w:type="dxa"/>
            <w:right w:w="0" w:type="dxa"/>
          </w:tblCellMar>
        </w:tblPrEx>
        <w:trPr>
          <w:trHeight w:val="56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ind w:right="110"/>
              <w:rPr>
                <w:rFonts w:ascii="宋体" w:hAnsi="宋体" w:eastAsia="宋体" w:cs="Calibri"/>
                <w:b/>
                <w:color w:val="000000"/>
                <w:sz w:val="24"/>
                <w:szCs w:val="24"/>
              </w:rPr>
            </w:pPr>
            <w:r>
              <w:rPr>
                <w:rFonts w:hint="eastAsia" w:ascii="宋体" w:hAnsi="宋体" w:eastAsia="宋体" w:cs="宋体"/>
                <w:b/>
                <w:color w:val="000000"/>
                <w:sz w:val="24"/>
                <w:szCs w:val="24"/>
              </w:rPr>
              <w:t>地点</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rPr>
                <w:rFonts w:ascii="宋体" w:hAnsi="宋体" w:eastAsia="宋体" w:cs="Calibri"/>
                <w:color w:val="000000"/>
                <w:sz w:val="24"/>
                <w:szCs w:val="24"/>
              </w:rPr>
            </w:pPr>
            <w:r>
              <w:rPr>
                <w:rFonts w:hint="eastAsia" w:ascii="宋体" w:hAnsi="宋体" w:eastAsia="宋体" w:cs="Calibri"/>
                <w:color w:val="000000"/>
                <w:sz w:val="24"/>
                <w:szCs w:val="24"/>
              </w:rPr>
              <w:t>会议室</w:t>
            </w:r>
          </w:p>
        </w:tc>
      </w:tr>
      <w:tr>
        <w:tblPrEx>
          <w:tblLayout w:type="fixed"/>
          <w:tblCellMar>
            <w:top w:w="0" w:type="dxa"/>
            <w:left w:w="108" w:type="dxa"/>
            <w:bottom w:w="41" w:type="dxa"/>
            <w:right w:w="0" w:type="dxa"/>
          </w:tblCellMar>
        </w:tblPrEx>
        <w:trPr>
          <w:trHeight w:val="56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rPr>
                <w:rFonts w:ascii="宋体" w:hAnsi="宋体" w:eastAsia="宋体" w:cs="Calibri"/>
                <w:b/>
                <w:color w:val="000000"/>
                <w:sz w:val="24"/>
                <w:szCs w:val="24"/>
              </w:rPr>
            </w:pPr>
            <w:r>
              <w:rPr>
                <w:rFonts w:hint="eastAsia" w:ascii="宋体" w:hAnsi="宋体" w:eastAsia="宋体" w:cs="宋体"/>
                <w:b/>
                <w:color w:val="000000"/>
                <w:sz w:val="24"/>
                <w:szCs w:val="24"/>
              </w:rPr>
              <w:t>接待人员</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rPr>
                <w:rFonts w:ascii="宋体" w:hAnsi="宋体" w:eastAsia="宋体" w:cs="Calibri"/>
                <w:color w:val="000000"/>
                <w:sz w:val="24"/>
                <w:szCs w:val="24"/>
              </w:rPr>
            </w:pPr>
            <w:r>
              <w:rPr>
                <w:rFonts w:hint="eastAsia" w:ascii="宋体" w:hAnsi="宋体" w:eastAsia="宋体" w:cs="Calibri"/>
                <w:color w:val="000000"/>
                <w:sz w:val="24"/>
                <w:szCs w:val="24"/>
              </w:rPr>
              <w:t>董事会秘书：郑亦平</w:t>
            </w:r>
          </w:p>
        </w:tc>
      </w:tr>
      <w:tr>
        <w:tblPrEx>
          <w:tblLayout w:type="fixed"/>
          <w:tblCellMar>
            <w:top w:w="0" w:type="dxa"/>
            <w:left w:w="108" w:type="dxa"/>
            <w:bottom w:w="41" w:type="dxa"/>
            <w:right w:w="0" w:type="dxa"/>
          </w:tblCellMar>
        </w:tblPrEx>
        <w:trPr>
          <w:trHeight w:val="490"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right="110"/>
              <w:jc w:val="center"/>
              <w:rPr>
                <w:rFonts w:ascii="宋体" w:hAnsi="宋体" w:eastAsia="宋体" w:cs="宋体"/>
                <w:b/>
                <w:color w:val="000000"/>
                <w:sz w:val="24"/>
                <w:szCs w:val="24"/>
              </w:rPr>
            </w:pPr>
            <w:r>
              <w:rPr>
                <w:rFonts w:hint="eastAsia" w:ascii="宋体" w:hAnsi="宋体" w:eastAsia="宋体" w:cs="宋体"/>
                <w:b/>
                <w:color w:val="000000"/>
                <w:sz w:val="24"/>
                <w:szCs w:val="24"/>
              </w:rPr>
              <w:t>投资者关系活动主要内容介绍</w:t>
            </w:r>
          </w:p>
        </w:tc>
        <w:tc>
          <w:tcPr>
            <w:tcW w:w="7876" w:type="dxa"/>
            <w:tcBorders>
              <w:top w:val="single" w:color="000000" w:sz="4" w:space="0"/>
              <w:left w:val="single" w:color="000000" w:sz="4" w:space="0"/>
              <w:bottom w:val="single" w:color="000000" w:sz="4" w:space="0"/>
              <w:right w:val="single" w:color="000000" w:sz="4" w:space="0"/>
            </w:tcBorders>
            <w:vAlign w:val="bottom"/>
          </w:tcPr>
          <w:p>
            <w:pPr>
              <w:widowControl/>
              <w:numPr>
                <w:ilvl w:val="0"/>
                <w:numId w:val="1"/>
              </w:numPr>
              <w:snapToGrid w:val="0"/>
              <w:spacing w:before="312" w:beforeLines="100"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公司主要业务</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情况？</w:t>
            </w:r>
          </w:p>
          <w:p>
            <w:pPr>
              <w:widowControl/>
              <w:snapToGrid w:val="0"/>
              <w:spacing w:line="360" w:lineRule="auto"/>
              <w:jc w:val="left"/>
              <w:rPr>
                <w:rFonts w:hint="eastAsia"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答：公司是一家专业智能装备及核心部件制造商，拥有科学完整的研发、生产和销售运营体系，能够为客户提供公司相关自动化设备的整体解决方案。公司主要从事半导体类设备、平板显示模组类设备、以及智能装备关键零部件的研发、生产和销售。公司产品广泛应用于半导体封测、平板显示器件（显示模组、触控模组、指纹识别模组）的自动化组装和智能化检测，并向智能装备关键零部件等领域进行了延伸。</w:t>
            </w:r>
          </w:p>
          <w:p>
            <w:pPr>
              <w:widowControl/>
              <w:numPr>
                <w:ilvl w:val="0"/>
                <w:numId w:val="1"/>
              </w:numPr>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公司上半年整体的经营情况？</w:t>
            </w:r>
          </w:p>
          <w:p>
            <w:pPr>
              <w:widowControl/>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答：公司今年上半年通过聚焦主业，重点开拓消费类电子细分应用场景，公司实现营业收入35,956.93万元，较去年同期增长49.57%；实现归属于上市公司股东的净利润2,060.42万元，较去年同期增加180.87%；实现归属于上市公司股东的扣除非经常性损益的净利润1,952.21万元，较去年同期增加167.39%。</w:t>
            </w:r>
          </w:p>
          <w:p>
            <w:pPr>
              <w:widowControl/>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从业务来看，公司平板显示模组类设备实现营业收入17,942.64万元，较去年同期增长148.01%，占公司营业收入的49.90%。主要原因系显示面板行业呈现复苏态势，超声波指纹、电子纸、智能眼镜等细分应用场景需求增长，公司平板显示模组类设备业务销售订单较去年同期增加，平板显示模组类设备业务收入较去年同期大幅增长。同时，公司半导体封测设备以及智能装备核心部件在市场开拓方面也取得了积极进展，收入增长。​</w:t>
            </w:r>
          </w:p>
          <w:p>
            <w:pPr>
              <w:widowControl/>
              <w:numPr>
                <w:ilvl w:val="0"/>
                <w:numId w:val="1"/>
              </w:numPr>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公司在智能眼镜相关设备的布局</w:t>
            </w:r>
            <w:r>
              <w:rPr>
                <w:rFonts w:hint="eastAsia" w:ascii="Times New Roman" w:hAnsi="Times New Roman" w:eastAsia="宋体" w:cs="Times New Roman"/>
                <w:bCs/>
                <w:color w:val="000000" w:themeColor="text1"/>
                <w:sz w:val="24"/>
                <w:szCs w:val="24"/>
                <w:highlight w:val="none"/>
                <w14:textFill>
                  <w14:solidFill>
                    <w14:schemeClr w14:val="tx1"/>
                  </w14:solidFill>
                </w14:textFill>
              </w:rPr>
              <w:t>、相关技术及订单情况？</w:t>
            </w:r>
          </w:p>
          <w:p>
            <w:pPr>
              <w:widowControl/>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答：公司自2022年开始布局智能眼镜</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核心制程设备，</w:t>
            </w:r>
            <w:r>
              <w:rPr>
                <w:rFonts w:ascii="Times New Roman" w:hAnsi="Times New Roman" w:eastAsia="宋体" w:cs="Times New Roman"/>
                <w:bCs/>
                <w:color w:val="000000" w:themeColor="text1"/>
                <w:sz w:val="24"/>
                <w:szCs w:val="24"/>
                <w14:textFill>
                  <w14:solidFill>
                    <w14:schemeClr w14:val="tx1"/>
                  </w14:solidFill>
                </w14:textFill>
              </w:rPr>
              <w:t>公司具有向</w:t>
            </w:r>
            <w:r>
              <w:rPr>
                <w:rFonts w:hint="eastAsia" w:ascii="Times New Roman" w:hAnsi="Times New Roman" w:eastAsia="宋体" w:cs="Times New Roman"/>
                <w:bCs/>
                <w:color w:val="000000" w:themeColor="text1"/>
                <w:sz w:val="24"/>
                <w:szCs w:val="24"/>
                <w14:textFill>
                  <w14:solidFill>
                    <w14:schemeClr w14:val="tx1"/>
                  </w14:solidFill>
                </w14:textFill>
              </w:rPr>
              <w:t>智能</w:t>
            </w:r>
            <w:r>
              <w:rPr>
                <w:rFonts w:ascii="Times New Roman" w:hAnsi="Times New Roman" w:eastAsia="宋体" w:cs="Times New Roman"/>
                <w:bCs/>
                <w:color w:val="000000" w:themeColor="text1"/>
                <w:sz w:val="24"/>
                <w:szCs w:val="24"/>
                <w14:textFill>
                  <w14:solidFill>
                    <w14:schemeClr w14:val="tx1"/>
                  </w14:solidFill>
                </w14:textFill>
              </w:rPr>
              <w:t>眼镜生产设备市场拓展的技术</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实力和市场渠道</w:t>
            </w:r>
            <w:r>
              <w:rPr>
                <w:rFonts w:hint="eastAsia" w:ascii="Times New Roman" w:hAnsi="Times New Roman" w:eastAsia="宋体" w:cs="Times New Roman"/>
                <w:bCs/>
                <w:color w:val="000000" w:themeColor="text1"/>
                <w:sz w:val="24"/>
                <w:szCs w:val="24"/>
                <w14:textFill>
                  <w14:solidFill>
                    <w14:schemeClr w14:val="tx1"/>
                  </w14:solidFill>
                </w14:textFill>
              </w:rPr>
              <w:t>，2025年智能眼镜制程设备订单</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随着智能眼镜市场需求的激增，</w:t>
            </w:r>
            <w:r>
              <w:rPr>
                <w:rFonts w:hint="eastAsia" w:ascii="Times New Roman" w:hAnsi="Times New Roman" w:eastAsia="宋体" w:cs="Times New Roman"/>
                <w:bCs/>
                <w:color w:val="000000" w:themeColor="text1"/>
                <w:sz w:val="24"/>
                <w:szCs w:val="24"/>
                <w14:textFill>
                  <w14:solidFill>
                    <w14:schemeClr w14:val="tx1"/>
                  </w14:solidFill>
                </w14:textFill>
              </w:rPr>
              <w:t>呈快速增长态势。其智能眼镜设备产品包括AR/VR曲面热成型设备、AR/VR曲面高精度胶合设备等。公司目前已与国内外知名厂商建立良好合作，与海外知名客户合作关系持续深化，有望在智能眼镜等新兴应用场景实现进一步突破。</w:t>
            </w:r>
          </w:p>
          <w:p>
            <w:pPr>
              <w:widowControl/>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bCs/>
                <w:color w:val="000000" w:themeColor="text1"/>
                <w:sz w:val="24"/>
                <w:szCs w:val="24"/>
                <w14:textFill>
                  <w14:solidFill>
                    <w14:schemeClr w14:val="tx1"/>
                  </w14:solidFill>
                </w14:textFill>
              </w:rPr>
              <w:t>、半导体产业国产化发展趋势下公司在半导体领域有哪些布局规划，能否在某方面完成国产替代？公司今年半导体业务订单如何？</w:t>
            </w:r>
          </w:p>
          <w:p>
            <w:pPr>
              <w:widowControl/>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答：公司深耕于半导体封测设备领域多年，公司的半导体封测设备业务聚焦集成电路后道制程，主要产品涵盖转塔式分选机、平移式分选机、重力式分选机、晶圆探针台及晶圆固晶机等，广泛应用于半导体领域的测试与封装环节。公司将巩固测试分选一体机的市场地位，加快平移式分选机的市场拓展。同时，持续投入研发，提升产品在效率与稳定性上的性能。此外，公司还将积极拓展海外市场，在提升国内市场占有率的同时，扩大产品出口范围。公司与众多知名半导体企业建立长期稳定的合作关系，当前公司半导体业务的订单储备充足，发展态势良好。</w:t>
            </w:r>
            <w:r>
              <w:rPr>
                <w:rFonts w:hint="eastAsia" w:ascii="MS Gothic" w:hAnsi="MS Gothic" w:eastAsia="MS Gothic" w:cs="MS Gothic"/>
                <w:bCs/>
                <w:color w:val="000000" w:themeColor="text1"/>
                <w:sz w:val="24"/>
                <w:szCs w:val="24"/>
                <w14:textFill>
                  <w14:solidFill>
                    <w14:schemeClr w14:val="tx1"/>
                  </w14:solidFill>
                </w14:textFill>
              </w:rPr>
              <w:t>​</w:t>
            </w:r>
            <w:bookmarkStart w:id="0" w:name="_GoBack"/>
            <w:bookmarkEnd w:id="0"/>
          </w:p>
          <w:p>
            <w:pPr>
              <w:pStyle w:val="8"/>
              <w:widowControl/>
              <w:numPr>
                <w:numId w:val="0"/>
              </w:numPr>
              <w:snapToGrid w:val="0"/>
              <w:spacing w:line="360" w:lineRule="auto"/>
              <w:ind w:leftChars="0"/>
              <w:jc w:val="left"/>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5、公司是否有存储相关业务</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客户具体是哪一家？</w:t>
            </w:r>
          </w:p>
          <w:p>
            <w:pPr>
              <w:widowControl/>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答：公司自</w:t>
            </w:r>
            <w:r>
              <w:rPr>
                <w:rFonts w:ascii="Times New Roman" w:hAnsi="Times New Roman" w:eastAsia="宋体" w:cs="Times New Roman"/>
                <w:bCs/>
                <w:color w:val="000000" w:themeColor="text1"/>
                <w:sz w:val="24"/>
                <w:szCs w:val="24"/>
                <w14:textFill>
                  <w14:solidFill>
                    <w14:schemeClr w14:val="tx1"/>
                  </w14:solidFill>
                </w14:textFill>
              </w:rPr>
              <w:t>2016年布局半导体分选机设备业务，分选机设备可以应用于存储封测环节</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并</w:t>
            </w:r>
            <w:r>
              <w:rPr>
                <w:rFonts w:hint="eastAsia" w:ascii="Times New Roman" w:hAnsi="Times New Roman" w:eastAsia="宋体" w:cs="Times New Roman"/>
                <w:bCs/>
                <w:color w:val="000000" w:themeColor="text1"/>
                <w:sz w:val="24"/>
                <w:szCs w:val="24"/>
                <w14:textFill>
                  <w14:solidFill>
                    <w14:schemeClr w14:val="tx1"/>
                  </w14:solidFill>
                </w14:textFill>
              </w:rPr>
              <w:t>与</w:t>
            </w:r>
            <w:r>
              <w:rPr>
                <w:rFonts w:ascii="Times New Roman" w:hAnsi="Times New Roman" w:eastAsia="宋体" w:cs="Times New Roman"/>
                <w:bCs/>
                <w:color w:val="000000" w:themeColor="text1"/>
                <w:sz w:val="24"/>
                <w:szCs w:val="24"/>
                <w14:textFill>
                  <w14:solidFill>
                    <w14:schemeClr w14:val="tx1"/>
                  </w14:solidFill>
                </w14:textFill>
              </w:rPr>
              <w:t>通富微电、长电科技等优质客户建立了深入合作，目前整体订单情况良好。</w:t>
            </w:r>
          </w:p>
          <w:p>
            <w:pPr>
              <w:widowControl/>
              <w:snapToGrid w:val="0"/>
              <w:spacing w:line="360" w:lineRule="auto"/>
              <w:jc w:val="left"/>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此外，公司目前已于北美知名存储厂商建立了直接合作，公司为其提供存储AOI检测设备，</w:t>
            </w:r>
            <w:r>
              <w:rPr>
                <w:rFonts w:hint="eastAsia" w:ascii="Times New Roman" w:hAnsi="Times New Roman" w:eastAsia="宋体" w:cs="Times New Roman"/>
                <w:bCs/>
                <w:color w:val="000000" w:themeColor="text1"/>
                <w:sz w:val="24"/>
                <w:szCs w:val="24"/>
                <w14:textFill>
                  <w14:solidFill>
                    <w14:schemeClr w14:val="tx1"/>
                  </w14:solidFill>
                </w14:textFill>
              </w:rPr>
              <w:t>因涉及公司与客户的保密约定，不便于透露客户具体信息，</w:t>
            </w:r>
            <w:r>
              <w:rPr>
                <w:rFonts w:ascii="Times New Roman" w:hAnsi="Times New Roman" w:eastAsia="宋体" w:cs="Times New Roman"/>
                <w:bCs/>
                <w:color w:val="000000" w:themeColor="text1"/>
                <w:sz w:val="24"/>
                <w:szCs w:val="24"/>
                <w:highlight w:val="none"/>
                <w14:textFill>
                  <w14:solidFill>
                    <w14:schemeClr w14:val="tx1"/>
                  </w14:solidFill>
                </w14:textFill>
              </w:rPr>
              <w:t>但预计与北美知名存储厂商的合作对今年公司业绩增长贡献较小。</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明后年市场机会是重点。</w:t>
            </w:r>
          </w:p>
          <w:p>
            <w:pPr>
              <w:widowControl/>
              <w:numPr>
                <w:ilvl w:val="0"/>
                <w:numId w:val="2"/>
              </w:numPr>
              <w:snapToGrid w:val="0"/>
              <w:spacing w:line="360" w:lineRule="auto"/>
              <w:jc w:val="left"/>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公司目前在手订单情况？全年经营目标？</w:t>
            </w:r>
          </w:p>
          <w:p>
            <w:pPr>
              <w:widowControl/>
              <w:numPr>
                <w:numId w:val="0"/>
              </w:numPr>
              <w:snapToGrid w:val="0"/>
              <w:spacing w:line="360" w:lineRule="auto"/>
              <w:jc w:val="left"/>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回复：随着消费类电子细分应用场景如超声波指纹、OLED显示以及智能座舱、智能穿戴等需求的增长，公司目前在手订单充足。公司全年将围绕已披露的股权激励经营目标努力。</w:t>
            </w:r>
          </w:p>
        </w:tc>
      </w:tr>
      <w:tr>
        <w:tblPrEx>
          <w:tblLayout w:type="fixed"/>
          <w:tblCellMar>
            <w:top w:w="0" w:type="dxa"/>
            <w:left w:w="108" w:type="dxa"/>
            <w:bottom w:w="41" w:type="dxa"/>
            <w:right w:w="0" w:type="dxa"/>
          </w:tblCellMar>
        </w:tblPrEx>
        <w:trPr>
          <w:trHeight w:val="490" w:hRule="atLeast"/>
        </w:trPr>
        <w:tc>
          <w:tcPr>
            <w:tcW w:w="2100" w:type="dxa"/>
            <w:tcBorders>
              <w:top w:val="single" w:color="000000" w:sz="4" w:space="0"/>
              <w:left w:val="single" w:color="000000" w:sz="4" w:space="0"/>
              <w:bottom w:val="single" w:color="000000" w:sz="4" w:space="0"/>
              <w:right w:val="single" w:color="000000" w:sz="4" w:space="0"/>
            </w:tcBorders>
            <w:vAlign w:val="bottom"/>
          </w:tcPr>
          <w:p>
            <w:pPr>
              <w:widowControl/>
              <w:snapToGrid w:val="0"/>
              <w:spacing w:before="156" w:beforeLines="50" w:after="0" w:line="360" w:lineRule="auto"/>
              <w:rPr>
                <w:rFonts w:ascii="宋体" w:hAnsi="宋体" w:eastAsia="宋体" w:cs="宋体"/>
                <w:b/>
                <w:color w:val="000000"/>
                <w:sz w:val="24"/>
                <w:szCs w:val="24"/>
              </w:rPr>
            </w:pPr>
            <w:r>
              <w:rPr>
                <w:rFonts w:hint="eastAsia" w:ascii="宋体" w:hAnsi="宋体" w:eastAsia="宋体" w:cs="宋体"/>
                <w:b/>
                <w:color w:val="000000"/>
                <w:sz w:val="24"/>
                <w:szCs w:val="24"/>
              </w:rPr>
              <w:t>附件清单（如有）</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无</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投资者关系调研记录表2025-</w:t>
    </w:r>
    <w: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94188"/>
    <w:multiLevelType w:val="multilevel"/>
    <w:tmpl w:val="90194188"/>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BF10BF16"/>
    <w:multiLevelType w:val="singleLevel"/>
    <w:tmpl w:val="BF10BF16"/>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3A"/>
    <w:rsid w:val="00007BB1"/>
    <w:rsid w:val="00024DA0"/>
    <w:rsid w:val="0003789B"/>
    <w:rsid w:val="00045150"/>
    <w:rsid w:val="0005195B"/>
    <w:rsid w:val="0005228C"/>
    <w:rsid w:val="00066488"/>
    <w:rsid w:val="000859A1"/>
    <w:rsid w:val="000911B1"/>
    <w:rsid w:val="000A36D9"/>
    <w:rsid w:val="000A6DDF"/>
    <w:rsid w:val="000B022D"/>
    <w:rsid w:val="000C24AF"/>
    <w:rsid w:val="000C66AC"/>
    <w:rsid w:val="000C7ECB"/>
    <w:rsid w:val="000E3444"/>
    <w:rsid w:val="000F2088"/>
    <w:rsid w:val="000F68A3"/>
    <w:rsid w:val="000F7B15"/>
    <w:rsid w:val="00105DB6"/>
    <w:rsid w:val="00111A9F"/>
    <w:rsid w:val="001218C5"/>
    <w:rsid w:val="001268B5"/>
    <w:rsid w:val="00127CFF"/>
    <w:rsid w:val="00141788"/>
    <w:rsid w:val="001618D4"/>
    <w:rsid w:val="00172897"/>
    <w:rsid w:val="00174135"/>
    <w:rsid w:val="001762DD"/>
    <w:rsid w:val="001770C5"/>
    <w:rsid w:val="001B4BAE"/>
    <w:rsid w:val="001E2B03"/>
    <w:rsid w:val="002149F8"/>
    <w:rsid w:val="002153C4"/>
    <w:rsid w:val="00215CCC"/>
    <w:rsid w:val="002169BA"/>
    <w:rsid w:val="00227609"/>
    <w:rsid w:val="00227927"/>
    <w:rsid w:val="002313D0"/>
    <w:rsid w:val="00234889"/>
    <w:rsid w:val="002542FB"/>
    <w:rsid w:val="00260363"/>
    <w:rsid w:val="002641F9"/>
    <w:rsid w:val="002735E9"/>
    <w:rsid w:val="00282E26"/>
    <w:rsid w:val="00284A83"/>
    <w:rsid w:val="002A78AB"/>
    <w:rsid w:val="002C156E"/>
    <w:rsid w:val="002E03FF"/>
    <w:rsid w:val="002E25DA"/>
    <w:rsid w:val="002E593A"/>
    <w:rsid w:val="002E6F1D"/>
    <w:rsid w:val="002F2186"/>
    <w:rsid w:val="002F5B4F"/>
    <w:rsid w:val="002F60BE"/>
    <w:rsid w:val="003013AF"/>
    <w:rsid w:val="003036D7"/>
    <w:rsid w:val="003244D1"/>
    <w:rsid w:val="00341321"/>
    <w:rsid w:val="00341680"/>
    <w:rsid w:val="00343140"/>
    <w:rsid w:val="00365D58"/>
    <w:rsid w:val="0039175E"/>
    <w:rsid w:val="0039424D"/>
    <w:rsid w:val="003A0453"/>
    <w:rsid w:val="003A7B13"/>
    <w:rsid w:val="003D33FB"/>
    <w:rsid w:val="003D68CE"/>
    <w:rsid w:val="003F51C4"/>
    <w:rsid w:val="00423762"/>
    <w:rsid w:val="00425379"/>
    <w:rsid w:val="00431189"/>
    <w:rsid w:val="00441FB0"/>
    <w:rsid w:val="00486001"/>
    <w:rsid w:val="004916E5"/>
    <w:rsid w:val="0049390B"/>
    <w:rsid w:val="00495744"/>
    <w:rsid w:val="004B283F"/>
    <w:rsid w:val="004B42CE"/>
    <w:rsid w:val="004B7A64"/>
    <w:rsid w:val="004E2779"/>
    <w:rsid w:val="004E4791"/>
    <w:rsid w:val="004F6DDF"/>
    <w:rsid w:val="00540F5E"/>
    <w:rsid w:val="00543E0D"/>
    <w:rsid w:val="00550A02"/>
    <w:rsid w:val="005631F4"/>
    <w:rsid w:val="00571C96"/>
    <w:rsid w:val="0059126B"/>
    <w:rsid w:val="005B6EDB"/>
    <w:rsid w:val="005E4214"/>
    <w:rsid w:val="005F75DD"/>
    <w:rsid w:val="00601B64"/>
    <w:rsid w:val="006215DB"/>
    <w:rsid w:val="00626B1E"/>
    <w:rsid w:val="00636A0A"/>
    <w:rsid w:val="006614EC"/>
    <w:rsid w:val="0067019D"/>
    <w:rsid w:val="00676756"/>
    <w:rsid w:val="00680FF1"/>
    <w:rsid w:val="00684A28"/>
    <w:rsid w:val="00697E06"/>
    <w:rsid w:val="006A13AE"/>
    <w:rsid w:val="006A7ED1"/>
    <w:rsid w:val="006B3BBF"/>
    <w:rsid w:val="006D240F"/>
    <w:rsid w:val="00715EA3"/>
    <w:rsid w:val="00724E94"/>
    <w:rsid w:val="00727C4E"/>
    <w:rsid w:val="00734959"/>
    <w:rsid w:val="00745BBF"/>
    <w:rsid w:val="00767398"/>
    <w:rsid w:val="00771E75"/>
    <w:rsid w:val="00795411"/>
    <w:rsid w:val="007C3DC5"/>
    <w:rsid w:val="007C50C8"/>
    <w:rsid w:val="007D7579"/>
    <w:rsid w:val="007E0A19"/>
    <w:rsid w:val="007E0A94"/>
    <w:rsid w:val="00802568"/>
    <w:rsid w:val="00802E87"/>
    <w:rsid w:val="00812C38"/>
    <w:rsid w:val="0083205D"/>
    <w:rsid w:val="00887839"/>
    <w:rsid w:val="008A2209"/>
    <w:rsid w:val="008A4F1F"/>
    <w:rsid w:val="008A7678"/>
    <w:rsid w:val="008B1838"/>
    <w:rsid w:val="008C5CF2"/>
    <w:rsid w:val="008D6ECB"/>
    <w:rsid w:val="008F14C1"/>
    <w:rsid w:val="009018B3"/>
    <w:rsid w:val="009314BC"/>
    <w:rsid w:val="0093153E"/>
    <w:rsid w:val="00947AB4"/>
    <w:rsid w:val="009709F1"/>
    <w:rsid w:val="009824CC"/>
    <w:rsid w:val="009868E8"/>
    <w:rsid w:val="00993534"/>
    <w:rsid w:val="009B4D09"/>
    <w:rsid w:val="009B60F4"/>
    <w:rsid w:val="009E6F6B"/>
    <w:rsid w:val="00A04A85"/>
    <w:rsid w:val="00A13212"/>
    <w:rsid w:val="00A24ADD"/>
    <w:rsid w:val="00A24E1C"/>
    <w:rsid w:val="00A46D6F"/>
    <w:rsid w:val="00A47956"/>
    <w:rsid w:val="00A706F0"/>
    <w:rsid w:val="00A75760"/>
    <w:rsid w:val="00A77639"/>
    <w:rsid w:val="00A94AA5"/>
    <w:rsid w:val="00A97546"/>
    <w:rsid w:val="00AA3F47"/>
    <w:rsid w:val="00AB058C"/>
    <w:rsid w:val="00AB3988"/>
    <w:rsid w:val="00AB3C08"/>
    <w:rsid w:val="00AC4AED"/>
    <w:rsid w:val="00AD5482"/>
    <w:rsid w:val="00B13D78"/>
    <w:rsid w:val="00B436FE"/>
    <w:rsid w:val="00B47FFC"/>
    <w:rsid w:val="00B55D98"/>
    <w:rsid w:val="00B64F28"/>
    <w:rsid w:val="00B65EEF"/>
    <w:rsid w:val="00B74304"/>
    <w:rsid w:val="00B91208"/>
    <w:rsid w:val="00B92262"/>
    <w:rsid w:val="00BB6EA5"/>
    <w:rsid w:val="00BC6542"/>
    <w:rsid w:val="00BE70D1"/>
    <w:rsid w:val="00C107F4"/>
    <w:rsid w:val="00C128FA"/>
    <w:rsid w:val="00C166D7"/>
    <w:rsid w:val="00C17808"/>
    <w:rsid w:val="00C63707"/>
    <w:rsid w:val="00C77C49"/>
    <w:rsid w:val="00C81511"/>
    <w:rsid w:val="00C96B6A"/>
    <w:rsid w:val="00CA1F21"/>
    <w:rsid w:val="00CA7C41"/>
    <w:rsid w:val="00CB6E74"/>
    <w:rsid w:val="00CC07B9"/>
    <w:rsid w:val="00CC6EB0"/>
    <w:rsid w:val="00CD73E6"/>
    <w:rsid w:val="00CE2D1E"/>
    <w:rsid w:val="00D24A99"/>
    <w:rsid w:val="00D37291"/>
    <w:rsid w:val="00D52FCE"/>
    <w:rsid w:val="00D542E8"/>
    <w:rsid w:val="00D5453C"/>
    <w:rsid w:val="00D56F6B"/>
    <w:rsid w:val="00D621D0"/>
    <w:rsid w:val="00D77A3C"/>
    <w:rsid w:val="00D805F2"/>
    <w:rsid w:val="00D85CDB"/>
    <w:rsid w:val="00DA135F"/>
    <w:rsid w:val="00DB6377"/>
    <w:rsid w:val="00DC7844"/>
    <w:rsid w:val="00DE774C"/>
    <w:rsid w:val="00E00937"/>
    <w:rsid w:val="00E01D3A"/>
    <w:rsid w:val="00E10115"/>
    <w:rsid w:val="00E2458D"/>
    <w:rsid w:val="00E51CC7"/>
    <w:rsid w:val="00E54EED"/>
    <w:rsid w:val="00E72E0C"/>
    <w:rsid w:val="00E86C58"/>
    <w:rsid w:val="00EA1183"/>
    <w:rsid w:val="00EA3843"/>
    <w:rsid w:val="00EA6014"/>
    <w:rsid w:val="00EA62D7"/>
    <w:rsid w:val="00EA7E01"/>
    <w:rsid w:val="00EB08A9"/>
    <w:rsid w:val="00EB237A"/>
    <w:rsid w:val="00EC3F83"/>
    <w:rsid w:val="00EF5ED5"/>
    <w:rsid w:val="00F021A1"/>
    <w:rsid w:val="00F05203"/>
    <w:rsid w:val="00F2068D"/>
    <w:rsid w:val="00F265D6"/>
    <w:rsid w:val="00F33166"/>
    <w:rsid w:val="00F5285A"/>
    <w:rsid w:val="00F53094"/>
    <w:rsid w:val="00F646A1"/>
    <w:rsid w:val="00F83D1C"/>
    <w:rsid w:val="00FA2E3A"/>
    <w:rsid w:val="00FA2EE7"/>
    <w:rsid w:val="00FA5B63"/>
    <w:rsid w:val="00FB1548"/>
    <w:rsid w:val="00FB4B62"/>
    <w:rsid w:val="00FB7A77"/>
    <w:rsid w:val="00FC40D1"/>
    <w:rsid w:val="00FC5F56"/>
    <w:rsid w:val="00FD032E"/>
    <w:rsid w:val="00FD4A7B"/>
    <w:rsid w:val="00FD5EE0"/>
    <w:rsid w:val="00FE5B9D"/>
    <w:rsid w:val="00FF2F64"/>
    <w:rsid w:val="00FF5EA0"/>
    <w:rsid w:val="070519D5"/>
    <w:rsid w:val="0A323E60"/>
    <w:rsid w:val="0A461515"/>
    <w:rsid w:val="113C7F4E"/>
    <w:rsid w:val="13C6161B"/>
    <w:rsid w:val="181C5855"/>
    <w:rsid w:val="19F8608D"/>
    <w:rsid w:val="1EFC317A"/>
    <w:rsid w:val="1FD1227A"/>
    <w:rsid w:val="23E74C33"/>
    <w:rsid w:val="27274D6D"/>
    <w:rsid w:val="290F0F12"/>
    <w:rsid w:val="2C19452D"/>
    <w:rsid w:val="2CA82B03"/>
    <w:rsid w:val="2D042D03"/>
    <w:rsid w:val="2E8C4480"/>
    <w:rsid w:val="2EED3F38"/>
    <w:rsid w:val="307964C9"/>
    <w:rsid w:val="34AC20C7"/>
    <w:rsid w:val="37D509E5"/>
    <w:rsid w:val="38E07FB3"/>
    <w:rsid w:val="3AF95225"/>
    <w:rsid w:val="3CC96124"/>
    <w:rsid w:val="3F5C661A"/>
    <w:rsid w:val="3FEB3EB8"/>
    <w:rsid w:val="41AF7E19"/>
    <w:rsid w:val="425012F0"/>
    <w:rsid w:val="42E44775"/>
    <w:rsid w:val="45475D7C"/>
    <w:rsid w:val="4B8F3130"/>
    <w:rsid w:val="4BF556C1"/>
    <w:rsid w:val="4F8B5508"/>
    <w:rsid w:val="504B4F3C"/>
    <w:rsid w:val="50546DA2"/>
    <w:rsid w:val="55D3319D"/>
    <w:rsid w:val="5B367A53"/>
    <w:rsid w:val="5C727963"/>
    <w:rsid w:val="5FE95136"/>
    <w:rsid w:val="611B2D5E"/>
    <w:rsid w:val="623F48B3"/>
    <w:rsid w:val="70394C4A"/>
    <w:rsid w:val="7291323F"/>
    <w:rsid w:val="74B356D7"/>
    <w:rsid w:val="77790EFF"/>
    <w:rsid w:val="7D7F7E81"/>
    <w:rsid w:val="7FF74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7">
    <w:name w:val="Strong"/>
    <w:basedOn w:val="6"/>
    <w:qFormat/>
    <w:uiPriority w:val="22"/>
    <w:rPr>
      <w:b/>
    </w:rPr>
  </w:style>
  <w:style w:type="paragraph" w:styleId="8">
    <w:name w:val="List Paragraph"/>
    <w:basedOn w:val="1"/>
    <w:qFormat/>
    <w:uiPriority w:val="34"/>
    <w:pPr>
      <w:ind w:firstLine="420" w:firstLineChars="200"/>
    </w:pPr>
  </w:style>
  <w:style w:type="table" w:customStyle="1" w:styleId="9">
    <w:name w:val="TableGrid"/>
    <w:qFormat/>
    <w:uiPriority w:val="0"/>
    <w:tblPr>
      <w:tblLayout w:type="fixed"/>
      <w:tblCellMar>
        <w:top w:w="0" w:type="dxa"/>
        <w:left w:w="0" w:type="dxa"/>
        <w:bottom w:w="0" w:type="dxa"/>
        <w:right w:w="0" w:type="dxa"/>
      </w:tblCellMar>
    </w:tbl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QN</Company>
  <Pages>4</Pages>
  <Words>389</Words>
  <Characters>2218</Characters>
  <Lines>18</Lines>
  <Paragraphs>5</Paragraphs>
  <TotalTime>229</TotalTime>
  <ScaleCrop>false</ScaleCrop>
  <LinksUpToDate>false</LinksUpToDate>
  <CharactersWithSpaces>2602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2025-06-20T09:06:00Z</dcterms:created>
  <dc:creator>HYC_财务部_任艺男</dc:creator>
  <cp:lastModifiedBy>zyp</cp:lastModifiedBy>
  <dcterms:modified xsi:type="dcterms:W3CDTF">2025-10-17T08:49:36Z</dcterms:modified>
  <dc:title>证券代码：688328                                    证券简称：深科达</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