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6BED" w14:textId="77777777" w:rsidR="00CC0FE8" w:rsidRDefault="00000000">
      <w:pPr>
        <w:snapToGrid/>
        <w:spacing w:before="0" w:after="220" w:line="360" w:lineRule="auto"/>
        <w:rPr>
          <w:rFonts w:eastAsia="宋体" w:hint="eastAsia"/>
        </w:rPr>
      </w:pPr>
      <w:r>
        <w:rPr>
          <w:rFonts w:ascii="宋体" w:eastAsia="宋体" w:hAnsi="宋体" w:cs="宋体"/>
          <w:b/>
          <w:color w:val="000000"/>
          <w:sz w:val="24"/>
        </w:rPr>
        <w:t>证券代码：688005               证券简称：</w:t>
      </w:r>
      <w:proofErr w:type="gramStart"/>
      <w:r>
        <w:rPr>
          <w:rFonts w:ascii="宋体" w:eastAsia="宋体" w:hAnsi="宋体" w:cs="宋体"/>
          <w:b/>
          <w:color w:val="000000"/>
          <w:sz w:val="24"/>
        </w:rPr>
        <w:t>容百科技</w:t>
      </w:r>
      <w:proofErr w:type="gramEnd"/>
      <w:r>
        <w:rPr>
          <w:rFonts w:ascii="宋体" w:eastAsia="宋体" w:hAnsi="宋体" w:cs="宋体" w:hint="eastAsia"/>
          <w:b/>
          <w:color w:val="000000"/>
          <w:sz w:val="24"/>
        </w:rPr>
        <w:t xml:space="preserve"> </w:t>
      </w:r>
      <w:r>
        <w:rPr>
          <w:rFonts w:ascii="宋体" w:eastAsia="宋体" w:hAnsi="宋体" w:cs="宋体"/>
          <w:b/>
          <w:color w:val="000000"/>
          <w:sz w:val="24"/>
        </w:rPr>
        <w:t xml:space="preserve">           编号：2025-00</w:t>
      </w:r>
      <w:r>
        <w:rPr>
          <w:rFonts w:ascii="宋体" w:eastAsia="宋体" w:hAnsi="宋体" w:cs="宋体" w:hint="eastAsia"/>
          <w:b/>
          <w:color w:val="000000"/>
          <w:sz w:val="24"/>
        </w:rPr>
        <w:t>5</w:t>
      </w:r>
    </w:p>
    <w:p w14:paraId="502C1DC4" w14:textId="77777777" w:rsidR="00CC0FE8" w:rsidRDefault="00000000">
      <w:pPr>
        <w:snapToGrid/>
        <w:spacing w:before="0" w:after="217" w:line="360" w:lineRule="auto"/>
        <w:ind w:left="4153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 </w:t>
      </w:r>
    </w:p>
    <w:p w14:paraId="477ECAA9" w14:textId="77777777" w:rsidR="00CC0FE8" w:rsidRDefault="00000000">
      <w:pPr>
        <w:snapToGrid/>
        <w:spacing w:before="0" w:after="0" w:line="360" w:lineRule="auto"/>
        <w:ind w:firstLine="643"/>
        <w:jc w:val="center"/>
        <w:rPr>
          <w:rFonts w:hint="eastAsia"/>
          <w:sz w:val="28"/>
        </w:rPr>
      </w:pPr>
      <w:proofErr w:type="gramStart"/>
      <w:r>
        <w:rPr>
          <w:rFonts w:ascii="宋体" w:eastAsia="宋体" w:hAnsi="宋体" w:cs="宋体"/>
          <w:b/>
          <w:color w:val="000000"/>
          <w:sz w:val="32"/>
        </w:rPr>
        <w:t>宁波容百新能源</w:t>
      </w:r>
      <w:proofErr w:type="gramEnd"/>
      <w:r>
        <w:rPr>
          <w:rFonts w:ascii="宋体" w:eastAsia="宋体" w:hAnsi="宋体" w:cs="宋体"/>
          <w:b/>
          <w:color w:val="000000"/>
          <w:sz w:val="32"/>
        </w:rPr>
        <w:t>科技股份有限公司</w:t>
      </w:r>
    </w:p>
    <w:p w14:paraId="663182CB" w14:textId="77777777" w:rsidR="00CC0FE8" w:rsidRDefault="00000000">
      <w:pPr>
        <w:snapToGrid/>
        <w:spacing w:before="0" w:after="0" w:line="360" w:lineRule="auto"/>
        <w:ind w:firstLine="643"/>
        <w:jc w:val="center"/>
        <w:rPr>
          <w:rFonts w:hint="eastAsia"/>
          <w:sz w:val="28"/>
        </w:rPr>
      </w:pPr>
      <w:r>
        <w:rPr>
          <w:rFonts w:ascii="宋体" w:eastAsia="宋体" w:hAnsi="宋体" w:cs="宋体"/>
          <w:b/>
          <w:color w:val="000000"/>
          <w:sz w:val="32"/>
        </w:rPr>
        <w:t>投资者关系活动记录表</w:t>
      </w:r>
    </w:p>
    <w:p w14:paraId="147397F1" w14:textId="77777777" w:rsidR="00CC0FE8" w:rsidRDefault="00000000">
      <w:pPr>
        <w:snapToGrid/>
        <w:spacing w:before="0" w:after="0" w:line="360" w:lineRule="auto"/>
        <w:ind w:left="1179" w:right="105"/>
        <w:jc w:val="right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 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7500"/>
      </w:tblGrid>
      <w:tr w:rsidR="00CC0FE8" w14:paraId="47AF8DB9" w14:textId="77777777">
        <w:trPr>
          <w:trHeight w:val="2480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3198A522" w14:textId="77777777" w:rsidR="00CC0FE8" w:rsidRDefault="00000000">
            <w:pPr>
              <w:spacing w:before="0" w:after="0"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投资者关系活动类别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  <w:vAlign w:val="bottom"/>
          </w:tcPr>
          <w:p w14:paraId="4803E61D" w14:textId="77777777" w:rsidR="00CC0FE8" w:rsidRDefault="00000000">
            <w:pPr>
              <w:spacing w:before="0" w:after="0" w:line="36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□特定对象调研□分析师会议</w:t>
            </w:r>
          </w:p>
          <w:p w14:paraId="589FBB6E" w14:textId="77777777" w:rsidR="00CC0FE8" w:rsidRDefault="00000000">
            <w:pPr>
              <w:spacing w:before="0" w:after="0" w:line="36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□媒体采访□业绩说明会</w:t>
            </w:r>
          </w:p>
          <w:p w14:paraId="02E63D16" w14:textId="77777777" w:rsidR="00CC0FE8" w:rsidRDefault="00000000">
            <w:pPr>
              <w:spacing w:before="0" w:after="0" w:line="36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□新闻发布会□路演活动</w:t>
            </w:r>
          </w:p>
          <w:p w14:paraId="55C22B77" w14:textId="77777777" w:rsidR="00CC0FE8" w:rsidRDefault="00000000">
            <w:pPr>
              <w:spacing w:before="0" w:after="0" w:line="36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□现场参观□一对一沟通</w:t>
            </w:r>
          </w:p>
          <w:p w14:paraId="150A5019" w14:textId="77777777" w:rsidR="00CC0FE8" w:rsidRDefault="00000000">
            <w:pPr>
              <w:spacing w:before="0" w:after="0" w:line="36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□券商策略会■其他</w:t>
            </w:r>
            <w:r>
              <w:rPr>
                <w:rFonts w:ascii="宋体" w:eastAsia="宋体" w:hAnsi="宋体" w:cs="宋体"/>
                <w:color w:val="000000"/>
                <w:sz w:val="24"/>
                <w:u w:val="single"/>
              </w:rPr>
              <w:t>投资者电话交流会</w:t>
            </w:r>
          </w:p>
        </w:tc>
      </w:tr>
      <w:tr w:rsidR="00CC0FE8" w14:paraId="15E22E9C" w14:textId="77777777">
        <w:trPr>
          <w:trHeight w:val="677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34DCC65A" w14:textId="77777777" w:rsidR="00CC0FE8" w:rsidRDefault="00000000">
            <w:pPr>
              <w:spacing w:before="0" w:after="0" w:line="36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参与单位及人员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14B243DD" w14:textId="77777777" w:rsidR="00CC0FE8" w:rsidRDefault="00000000">
            <w:pPr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共100位机构投资者，详见附件</w:t>
            </w:r>
          </w:p>
        </w:tc>
      </w:tr>
      <w:tr w:rsidR="00CC0FE8" w14:paraId="3169CF3A" w14:textId="77777777">
        <w:trPr>
          <w:trHeight w:val="594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2122C86D" w14:textId="77777777" w:rsidR="00CC0FE8" w:rsidRDefault="00000000">
            <w:pPr>
              <w:spacing w:before="0" w:after="0" w:line="36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时间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4E6FC873" w14:textId="77777777" w:rsidR="00CC0FE8" w:rsidRDefault="00000000">
            <w:pPr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2025年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17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日</w:t>
            </w:r>
          </w:p>
        </w:tc>
      </w:tr>
      <w:tr w:rsidR="00CC0FE8" w14:paraId="21A8FF57" w14:textId="77777777">
        <w:trPr>
          <w:trHeight w:val="703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433FA9AE" w14:textId="77777777" w:rsidR="00CC0FE8" w:rsidRDefault="00000000">
            <w:pPr>
              <w:spacing w:before="0" w:after="0" w:line="36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地点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7C5D483B" w14:textId="77777777" w:rsidR="00CC0FE8" w:rsidRDefault="00000000">
            <w:pPr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电话会</w:t>
            </w:r>
          </w:p>
        </w:tc>
      </w:tr>
      <w:tr w:rsidR="00CC0FE8" w14:paraId="3E9FBB03" w14:textId="77777777">
        <w:trPr>
          <w:trHeight w:val="679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6B58627A" w14:textId="77777777" w:rsidR="00CC0FE8" w:rsidRDefault="00000000">
            <w:pPr>
              <w:spacing w:before="0" w:after="0" w:line="36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接待人员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38C6D32A" w14:textId="77777777" w:rsidR="00CC0FE8" w:rsidRDefault="00000000">
            <w:pPr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财务负责人杨扬、正极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业务总裁佘圣贤、前驱体事业部总经理叶飞、钠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电事业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部总经理王尊志、中央研究院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院长副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院长刘博士、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董事会秘书俞济芸</w:t>
            </w:r>
          </w:p>
        </w:tc>
      </w:tr>
      <w:tr w:rsidR="00CC0FE8" w14:paraId="1C64B87E" w14:textId="77777777">
        <w:trPr>
          <w:trHeight w:val="679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10D64A3E" w14:textId="77777777" w:rsidR="00CC0FE8" w:rsidRDefault="00000000">
            <w:pPr>
              <w:spacing w:before="0" w:after="0" w:line="36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核心要点</w:t>
            </w:r>
          </w:p>
          <w:p w14:paraId="07EAF26F" w14:textId="77777777" w:rsidR="00CC0FE8" w:rsidRDefault="00000000">
            <w:pPr>
              <w:spacing w:before="0" w:after="0" w:line="36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说明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5B6351DB" w14:textId="77777777" w:rsidR="00CC0FE8" w:rsidRDefault="00000000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报告期内，公司三元材料、磷酸铁锂、磷酸锰铁锂、钠电正极等各项业务齐头并进，新兴赛道市场持续放量。</w:t>
            </w:r>
          </w:p>
          <w:p w14:paraId="0C482DFB" w14:textId="77777777" w:rsidR="00CC0FE8" w:rsidRDefault="00000000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前三季度，三元正极材料销量7.1万吨。新一代中镍高电压材料已经完成开发即将量产，后续将是重要的市场增长点。8系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高镍产品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迎来全新换代，将率先搭载在部分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主流车企的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增程式电动车型上。</w:t>
            </w:r>
          </w:p>
          <w:p w14:paraId="4818AD7B" w14:textId="77777777" w:rsidR="00CC0FE8" w:rsidRDefault="00000000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钠电聚阴离子产品绑定国内头部客户卡位领先，2026年产销规模将迅速提升。磷酸锰铁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产品连续9个月保持满产满销，三季度销量创历史同期最高水平。磷酸铁锂的全新技术和工艺将使得公司的整体优势凸显，大客户导入及产能并购方面取得重大进展。</w:t>
            </w:r>
          </w:p>
          <w:p w14:paraId="75C42378" w14:textId="77777777" w:rsidR="00CC0FE8" w:rsidRDefault="00000000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前沿材料方面，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高镍及超高镍全固态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正极材料已实现十吨级出货，富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锂锰基材料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得到客户吨级以上订单，硫化物电解质产品性能领先，目前正在推进中试线建设，部分量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产设备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完成带料验证，预计将于2026年初竣工，2026年上半年投产。</w:t>
            </w:r>
          </w:p>
          <w:p w14:paraId="00919FFE" w14:textId="77777777" w:rsidR="00CC0FE8" w:rsidRDefault="00000000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当前，公司业务处于新材料、新产品产能逐步释放，订单逐步爬坡的过渡期。同时，在供应链端，公司通过与上游企业的资本合作，打造供应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链成本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竞争优势。</w:t>
            </w:r>
          </w:p>
          <w:p w14:paraId="6DB38E3D" w14:textId="77777777" w:rsidR="00CC0FE8" w:rsidRDefault="00000000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司支持商务部和海关总署发布的58号公告，将在政策法规允许范围内开展国内以及海外业务的经营。公司的主要产品在国内及海外的销售，均不受影响。公司提前布局的海外产能稀缺性进一步提升，全球市场发展将迎来新的机遇。公司在韩国忠州已建成6万吨/年三元正极产能和6000吨/年前驱体产能，该基地是根据客户需求匹配建设，目前正处于产能逐步爬坡阶段。位于波兰的2.5万吨/年三元正极产能建设紧锣密鼓，主要装备已抵达施工现场，预计2026年上半年投产，将重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生产高镍和中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镍三元产品。这些海外产能可以在国内政策框架内正常运行，为公司巩固全球市场份额奠定坚实基础。</w:t>
            </w:r>
          </w:p>
        </w:tc>
      </w:tr>
      <w:tr w:rsidR="00CC0FE8" w14:paraId="2AC17DF8" w14:textId="77777777">
        <w:trPr>
          <w:trHeight w:val="1540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5F06823A" w14:textId="77777777" w:rsidR="00CC0FE8" w:rsidRDefault="00000000">
            <w:pPr>
              <w:spacing w:before="0" w:after="0" w:line="360" w:lineRule="auto"/>
              <w:ind w:right="110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lastRenderedPageBreak/>
              <w:t>投资者关系活动主要内容介绍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  <w:vAlign w:val="top"/>
          </w:tcPr>
          <w:p w14:paraId="17BEDDB7" w14:textId="77777777" w:rsidR="00CC0FE8" w:rsidRDefault="00000000">
            <w:pPr>
              <w:snapToGrid/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一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、中镍高电压产品以及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高镍产品</w:t>
            </w:r>
            <w:proofErr w:type="gramEnd"/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的换代情况如何？公司对于四季度以及明年的展望？</w:t>
            </w:r>
          </w:p>
          <w:p w14:paraId="104C6583" w14:textId="77777777" w:rsidR="00CC0FE8" w:rsidRDefault="00000000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公司当前正处在产品升级换代的换挡期，整体产品开发节奏清晰：一方面，预计明年开始，6系中镍高电压产品将实现大规模放量，该产品在能量密度、循环寿命和功率性能等方面均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有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显著优化，并非市场同质化产品，目前已进入客户送样与推进后续产业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链共同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开发阶段；另一方面，在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高镍产品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线上，新一代8系及9系超高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镍产品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有望应用于下一代增程新车型上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，从而带动订单结构进一步优化。</w:t>
            </w:r>
          </w:p>
          <w:p w14:paraId="5DDF16A0" w14:textId="77777777" w:rsidR="00CC0FE8" w:rsidRDefault="00000000">
            <w:pPr>
              <w:snapToGrid/>
              <w:spacing w:before="0" w:after="0" w:line="360" w:lineRule="auto"/>
              <w:ind w:firstLineChars="200" w:firstLine="480"/>
              <w:jc w:val="both"/>
              <w:rPr>
                <w:rFonts w:eastAsia="宋体"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在此基础上，公司对四季度及明年的展望持积极态度：随着新产品逐步放量、海外工厂明年投产带动国内外订单增长，公司整体产能利用率与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复购率将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得到有效提升。新产品利润水平预计不低于原产品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。</w:t>
            </w:r>
          </w:p>
          <w:p w14:paraId="5273CF44" w14:textId="77777777" w:rsidR="00CC0FE8" w:rsidRDefault="00000000">
            <w:pPr>
              <w:snapToGrid/>
              <w:spacing w:before="0" w:after="0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二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、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高镍的</w:t>
            </w:r>
            <w:proofErr w:type="gramEnd"/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增程相比原有方案的竞争优势？</w:t>
            </w:r>
          </w:p>
          <w:p w14:paraId="3FE3470F" w14:textId="77777777" w:rsidR="00CC0FE8" w:rsidRDefault="00000000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新一代增程式汽车，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对于纯电续航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里程提出了更高的要求。公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lastRenderedPageBreak/>
              <w:t>司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新一代高镍有望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在新一代增程汽车上得到批量应用，月供应量有望达到1000吨以上。公司新一代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高镍增程产品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是在原有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成熟高镍体系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上的重要升级。其核心优势在于，在保证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高镍材料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固有优势的基础上，进一步提升能量密度，可显著提升增程式电动车的续航里程和综合性能。此外，该方案在其他方面的性能也进行了同步优化，综合性能优于其他类型的电池方案。</w:t>
            </w:r>
          </w:p>
          <w:p w14:paraId="0D29DEBF" w14:textId="77777777" w:rsidR="00CC0FE8" w:rsidRDefault="00000000">
            <w:pPr>
              <w:snapToGrid/>
              <w:spacing w:before="0" w:after="0" w:line="360" w:lineRule="auto"/>
              <w:jc w:val="both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三、三季度几大主要业务经营情况？</w:t>
            </w:r>
          </w:p>
          <w:p w14:paraId="1A530621" w14:textId="77777777" w:rsidR="00CC0FE8" w:rsidRDefault="00000000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现有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高镍材料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处于升级换代的阶段，受海外产能爬坡等因素影响，整体销量有所下滑；原材料相关的前驱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体投入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较大；锰铁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锂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基本实现盈亏平衡；钠电有部分减亏。公司预计四季度会有销量的回升，考虑到明年会有一些换代产品，大规模放量要等到明年。</w:t>
            </w:r>
          </w:p>
          <w:p w14:paraId="7E1ED110" w14:textId="77777777" w:rsidR="00CC0FE8" w:rsidRDefault="00000000">
            <w:pPr>
              <w:snapToGrid/>
              <w:spacing w:before="0" w:after="0" w:line="360" w:lineRule="auto"/>
              <w:jc w:val="both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四、韩国工厂四季度及2026年的出货情况预计？</w:t>
            </w:r>
          </w:p>
          <w:p w14:paraId="7F47520A" w14:textId="77777777" w:rsidR="00CC0FE8" w:rsidRDefault="00000000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今年前三季度韩国工厂的负荷率不是很高，因为配套的海外项目本身也在投产磨合调试的过程中。目前来看，现有的韩国一期2万吨/年的产能，预计到2026年上半年满产，二期4万吨/年到2026年下半年开工率能达到较好水平。</w:t>
            </w:r>
          </w:p>
          <w:p w14:paraId="6E2333F4" w14:textId="77777777" w:rsidR="00CC0FE8" w:rsidRDefault="00000000">
            <w:pPr>
              <w:snapToGrid/>
              <w:spacing w:before="0" w:after="0" w:line="360" w:lineRule="auto"/>
              <w:jc w:val="both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五、韩国工厂2026年上半年预计能达到两万满产，这一预期是基于原有大客户皮卡销量复苏，还是因为拓展了新客户从而带来产量提升？</w:t>
            </w:r>
          </w:p>
          <w:p w14:paraId="578D0E40" w14:textId="77777777" w:rsidR="00CC0FE8" w:rsidRDefault="00000000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韩国工厂目前对接的客户有多家，产品终端不仅包括皮卡车型，还拓展了其他新车型。同时，下游电池厂在美国的工厂也在进行产能爬坡。因此，订单增长的信心主要来自于多款车型的拓展以及下游产能的提升。</w:t>
            </w:r>
          </w:p>
          <w:p w14:paraId="59689BC5" w14:textId="77777777" w:rsidR="00CC0FE8" w:rsidRDefault="00000000">
            <w:pPr>
              <w:snapToGrid/>
              <w:spacing w:before="0" w:after="0" w:line="360" w:lineRule="auto"/>
              <w:jc w:val="both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六、公司硫化物电解质的进展，包括中试线的建设、明年的产能规划？</w:t>
            </w:r>
          </w:p>
          <w:p w14:paraId="1D2CAB56" w14:textId="77777777" w:rsidR="00CC0FE8" w:rsidRDefault="00000000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公司硫化物电解质材料粒度及离子电导率性能处于行业领先水平，目前正在推进中试线建设，部分量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产设备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完成带料验证，预计将于2026年初竣工，2026年上半年投产。预计2026年下半年扩展到百吨级。通过P位的调控，硫化物电解质的空气稳定性大幅提升，摆脱手套箱环境的使用限制，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干房环境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与手套箱的环境下测评性能相当。</w:t>
            </w:r>
          </w:p>
          <w:p w14:paraId="55B5C2C1" w14:textId="77777777" w:rsidR="00CC0FE8" w:rsidRDefault="00000000">
            <w:pPr>
              <w:snapToGrid/>
              <w:spacing w:before="0" w:after="0" w:line="360" w:lineRule="auto"/>
              <w:jc w:val="both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七、关于硫化锂的制备技术路线选择及其产能规划是怎样的？</w:t>
            </w:r>
          </w:p>
          <w:p w14:paraId="38FD4F03" w14:textId="77777777" w:rsidR="00CC0FE8" w:rsidRDefault="00000000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硫化锂的制备上，公司对多种技术路线均有储备和研究。其中，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lastRenderedPageBreak/>
              <w:t>气固相反应路线在工艺流程、加工成本和原料来源方面具有显著优势，量产硫化锂后的成本优势较高。目前硫化锂的建设主要用于匹配公司自身硫化物电解质的生产需求，其扩产节奏将依据硫化物固态电解质的整体进度推进。由于气固相反应的工艺流程远短于硫化物电解质的生产流程，因此硫化锂的产能扩展速度较快，可根据市场需求快速调整和实施产能规划。</w:t>
            </w:r>
          </w:p>
          <w:p w14:paraId="68CD0B51" w14:textId="77777777" w:rsidR="00CC0FE8" w:rsidRDefault="00000000">
            <w:pPr>
              <w:snapToGrid/>
              <w:spacing w:before="0" w:after="0" w:line="360" w:lineRule="auto"/>
              <w:jc w:val="both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八、公司富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锂锰基材料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已获得客户吨级以上订单，未来在液态电池中的应用前景如何？相较于其他正极材料，它是否有特定的应用场景？</w:t>
            </w:r>
          </w:p>
          <w:p w14:paraId="1D380B7A" w14:textId="77777777" w:rsidR="00CC0FE8" w:rsidRDefault="00000000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富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锂锰基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在液态和固态电池中均具备应用前景。在固态电池领域，主要面向超高能量密度的技术路线；在液态电池领域，则定位于性价比路线，与中镍高电压产品形成竞争。其工作电压处于中压范围，凭借低镍、少钴或无钴的优势，展现出较高的性价比。目前正配合大客户开发用于液态电池的中电压富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锂锰基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正极材料，根据客户反馈预计电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芯产品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将进入到B样阶段。</w:t>
            </w:r>
          </w:p>
          <w:p w14:paraId="0A1D1420" w14:textId="77777777" w:rsidR="00CC0FE8" w:rsidRDefault="00000000">
            <w:pPr>
              <w:snapToGrid/>
              <w:spacing w:before="0" w:after="0" w:line="360" w:lineRule="auto"/>
              <w:jc w:val="both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九、公司磷酸铁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锂产品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的开发进展和盈利情况如何？在储能需求良好的背景下，公司对明年该业务的展望和定位是什么？现有产能的投放节奏及未来的新规划是怎样的？</w:t>
            </w:r>
          </w:p>
          <w:p w14:paraId="1899CA12" w14:textId="77777777" w:rsidR="00CC0FE8" w:rsidRDefault="00000000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公司采用低成本、高性能的全新生产工艺切入磷酸铁锂市场，并在大客户导入及产能并购方面取得重大进展。公司已经启动海外市场开拓、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产线设计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等工作，有望在波兰建成首条欧洲磷酸铁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锂产线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。公司的磷酸铁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锂产品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适用于动力和储能领域，尤其是高端储能，未来将在储能和动力市场快速放量。</w:t>
            </w:r>
          </w:p>
          <w:p w14:paraId="5EE9E217" w14:textId="77777777" w:rsidR="00CC0FE8" w:rsidRDefault="00000000">
            <w:pPr>
              <w:snapToGrid/>
              <w:spacing w:before="0" w:after="0" w:line="360" w:lineRule="auto"/>
              <w:jc w:val="both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十、公司锰铁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锂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已经处于满产状态，对于锰铁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锂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产能是否有规划，以及对于后续体量的预期？</w:t>
            </w:r>
          </w:p>
          <w:p w14:paraId="4D93661E" w14:textId="77777777" w:rsidR="00CC0FE8" w:rsidRDefault="00000000">
            <w:pPr>
              <w:snapToGrid/>
              <w:spacing w:before="0" w:after="0"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锰铁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锂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近几年整体保持高速增长，预计今明两年会在以商用车为主的动力领域爆发，后续订单充足。锰铁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锂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扩产选址工作还在筹备中，国内甚至是韩国、美国等均在考虑中，包括国内及海外地区。</w:t>
            </w:r>
          </w:p>
        </w:tc>
      </w:tr>
      <w:tr w:rsidR="00CC0FE8" w14:paraId="4C680426" w14:textId="77777777">
        <w:trPr>
          <w:trHeight w:val="681"/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5C0A4A3D" w14:textId="77777777" w:rsidR="00CC0FE8" w:rsidRDefault="00000000">
            <w:pPr>
              <w:spacing w:before="0" w:after="0" w:line="360" w:lineRule="auto"/>
              <w:ind w:right="110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lastRenderedPageBreak/>
              <w:t>附件</w:t>
            </w:r>
          </w:p>
        </w:tc>
        <w:tc>
          <w:tcPr>
            <w:tcW w:w="75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41" w:type="dxa"/>
              <w:right w:w="0" w:type="dxa"/>
            </w:tcMar>
          </w:tcPr>
          <w:p w14:paraId="11CEFA61" w14:textId="77777777" w:rsidR="00CC0FE8" w:rsidRDefault="00000000">
            <w:pPr>
              <w:spacing w:before="156" w:after="156" w:line="360" w:lineRule="auto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《与会清单》</w:t>
            </w:r>
          </w:p>
        </w:tc>
      </w:tr>
    </w:tbl>
    <w:p w14:paraId="4D740663" w14:textId="77777777" w:rsidR="00CC0FE8" w:rsidRDefault="00000000">
      <w:pPr>
        <w:snapToGrid/>
        <w:spacing w:before="0" w:after="0" w:line="360" w:lineRule="auto"/>
        <w:rPr>
          <w:rFonts w:ascii="宋体" w:eastAsia="宋体" w:hAnsi="宋体" w:cs="宋体" w:hint="eastAsia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 </w:t>
      </w:r>
    </w:p>
    <w:p w14:paraId="7C6EB61A" w14:textId="77777777" w:rsidR="00CC0FE8" w:rsidRDefault="00000000">
      <w:pPr>
        <w:spacing w:before="0" w:after="0" w:line="360" w:lineRule="auto"/>
        <w:rPr>
          <w:rFonts w:ascii="宋体" w:eastAsia="宋体" w:hAnsi="宋体" w:cs="宋体" w:hint="eastAsia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lastRenderedPageBreak/>
        <w:t>附件：《与会清单》</w:t>
      </w:r>
    </w:p>
    <w:tbl>
      <w:tblPr>
        <w:tblW w:w="92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39"/>
        <w:gridCol w:w="4474"/>
      </w:tblGrid>
      <w:tr w:rsidR="00CC0FE8" w14:paraId="79285A64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3E4D078B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BARNHILLCAPITALLIMITED</w:t>
            </w:r>
          </w:p>
        </w:tc>
        <w:tc>
          <w:tcPr>
            <w:tcW w:w="4474" w:type="dxa"/>
            <w:noWrap/>
            <w:vAlign w:val="center"/>
          </w:tcPr>
          <w:p w14:paraId="2C274254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海南鑫焱创业投资有限公司</w:t>
            </w:r>
          </w:p>
        </w:tc>
      </w:tr>
      <w:tr w:rsidR="00CC0FE8" w14:paraId="75938C0E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1C20B248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IGWT Investment 投资公司</w:t>
            </w:r>
          </w:p>
        </w:tc>
        <w:tc>
          <w:tcPr>
            <w:tcW w:w="4474" w:type="dxa"/>
            <w:noWrap/>
            <w:vAlign w:val="center"/>
          </w:tcPr>
          <w:p w14:paraId="2D6422B0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海南羊角私募基金管理合伙企业(有限合伙)</w:t>
            </w:r>
          </w:p>
        </w:tc>
      </w:tr>
      <w:tr w:rsidR="00CC0FE8" w14:paraId="3AD63179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3870F849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</w:rPr>
              <w:t>Ploncy</w:t>
            </w:r>
            <w:proofErr w:type="spellEnd"/>
            <w:r>
              <w:rPr>
                <w:rFonts w:ascii="宋体" w:eastAsia="宋体" w:hAnsi="宋体" w:hint="eastAsia"/>
                <w:color w:val="000000"/>
              </w:rPr>
              <w:t xml:space="preserve"> Cap</w:t>
            </w:r>
          </w:p>
        </w:tc>
        <w:tc>
          <w:tcPr>
            <w:tcW w:w="4474" w:type="dxa"/>
            <w:noWrap/>
            <w:vAlign w:val="center"/>
          </w:tcPr>
          <w:p w14:paraId="60F1E474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合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众资产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管理股份有限公司</w:t>
            </w:r>
          </w:p>
        </w:tc>
      </w:tr>
      <w:tr w:rsidR="00CC0FE8" w14:paraId="6AF8AE23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4634C80C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埃普斯国际(香港)有限公司</w:t>
            </w:r>
          </w:p>
        </w:tc>
        <w:tc>
          <w:tcPr>
            <w:tcW w:w="4474" w:type="dxa"/>
            <w:noWrap/>
            <w:vAlign w:val="center"/>
          </w:tcPr>
          <w:p w14:paraId="71EB4D12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红杉资本股权投资管理(天津)有限公司</w:t>
            </w:r>
          </w:p>
        </w:tc>
      </w:tr>
      <w:tr w:rsidR="00CC0FE8" w14:paraId="00A25691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613D65A1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邦德资产管理(香港)有限公司</w:t>
            </w:r>
          </w:p>
        </w:tc>
        <w:tc>
          <w:tcPr>
            <w:tcW w:w="4474" w:type="dxa"/>
            <w:noWrap/>
            <w:vAlign w:val="center"/>
          </w:tcPr>
          <w:p w14:paraId="0B70C781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宏利投资管理(香港)有限公司</w:t>
            </w:r>
          </w:p>
        </w:tc>
      </w:tr>
      <w:tr w:rsidR="00CC0FE8" w14:paraId="7CFB588E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6EDF9CB7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北京诚盛投资管理有限公司</w:t>
            </w:r>
          </w:p>
        </w:tc>
        <w:tc>
          <w:tcPr>
            <w:tcW w:w="4474" w:type="dxa"/>
            <w:noWrap/>
            <w:vAlign w:val="center"/>
          </w:tcPr>
          <w:p w14:paraId="138C007C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</w:rPr>
              <w:t>泓德基金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管理有限公司</w:t>
            </w:r>
          </w:p>
        </w:tc>
      </w:tr>
      <w:tr w:rsidR="00CC0FE8" w14:paraId="67FB619B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518132AD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北京富智投资管理有限公司</w:t>
            </w:r>
          </w:p>
        </w:tc>
        <w:tc>
          <w:tcPr>
            <w:tcW w:w="4474" w:type="dxa"/>
            <w:noWrap/>
            <w:vAlign w:val="center"/>
          </w:tcPr>
          <w:p w14:paraId="6481F0AF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鸿运私募基金管理(海南)有限公司</w:t>
            </w:r>
          </w:p>
        </w:tc>
      </w:tr>
      <w:tr w:rsidR="00CC0FE8" w14:paraId="64409E62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31DC7710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北京京管泰富基金管理有限责任公司</w:t>
            </w:r>
          </w:p>
        </w:tc>
        <w:tc>
          <w:tcPr>
            <w:tcW w:w="4474" w:type="dxa"/>
            <w:noWrap/>
            <w:vAlign w:val="center"/>
          </w:tcPr>
          <w:p w14:paraId="71D06F09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湖南八零后资产管理有限公司</w:t>
            </w:r>
          </w:p>
        </w:tc>
      </w:tr>
      <w:tr w:rsidR="00CC0FE8" w14:paraId="2825A5BC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1E090805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财通证券股份有限公司</w:t>
            </w:r>
          </w:p>
        </w:tc>
        <w:tc>
          <w:tcPr>
            <w:tcW w:w="4474" w:type="dxa"/>
            <w:noWrap/>
            <w:vAlign w:val="center"/>
          </w:tcPr>
          <w:p w14:paraId="5B85694D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湖南省湘江私募基金管理有限公司</w:t>
            </w:r>
          </w:p>
        </w:tc>
      </w:tr>
      <w:tr w:rsidR="00CC0FE8" w14:paraId="6E4C55EE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4753F350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财信证券股份有限公司</w:t>
            </w:r>
          </w:p>
        </w:tc>
        <w:tc>
          <w:tcPr>
            <w:tcW w:w="4474" w:type="dxa"/>
            <w:noWrap/>
            <w:vAlign w:val="center"/>
          </w:tcPr>
          <w:p w14:paraId="7AAA31FB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花旗环球金融亚洲有限公司</w:t>
            </w:r>
          </w:p>
        </w:tc>
      </w:tr>
      <w:tr w:rsidR="00CC0FE8" w14:paraId="5C8FD3D5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01896D19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大家资产管理有限责任公司</w:t>
            </w:r>
          </w:p>
        </w:tc>
        <w:tc>
          <w:tcPr>
            <w:tcW w:w="4474" w:type="dxa"/>
            <w:noWrap/>
            <w:vAlign w:val="center"/>
          </w:tcPr>
          <w:p w14:paraId="102AFF46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华创证券有限责任公司</w:t>
            </w:r>
          </w:p>
        </w:tc>
      </w:tr>
      <w:tr w:rsidR="00CC0FE8" w14:paraId="26AF3D15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14BE6896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东吴证券股份有限公司</w:t>
            </w:r>
          </w:p>
        </w:tc>
        <w:tc>
          <w:tcPr>
            <w:tcW w:w="4474" w:type="dxa"/>
            <w:noWrap/>
            <w:vAlign w:val="center"/>
          </w:tcPr>
          <w:p w14:paraId="67BF0853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华泰证券股份有限公司</w:t>
            </w:r>
          </w:p>
        </w:tc>
      </w:tr>
      <w:tr w:rsidR="00CC0FE8" w14:paraId="7B200391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2BC71BCE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东兴基金管理有限公司</w:t>
            </w:r>
          </w:p>
        </w:tc>
        <w:tc>
          <w:tcPr>
            <w:tcW w:w="4474" w:type="dxa"/>
            <w:noWrap/>
            <w:vAlign w:val="center"/>
          </w:tcPr>
          <w:p w14:paraId="10828B20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华西证券股份有限公司</w:t>
            </w:r>
          </w:p>
        </w:tc>
      </w:tr>
      <w:tr w:rsidR="00CC0FE8" w14:paraId="548540C8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1635D3AE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富瑞金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融集团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香港有限公司</w:t>
            </w:r>
          </w:p>
        </w:tc>
        <w:tc>
          <w:tcPr>
            <w:tcW w:w="4474" w:type="dxa"/>
            <w:noWrap/>
            <w:vAlign w:val="center"/>
          </w:tcPr>
          <w:p w14:paraId="2A067362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华夏未来资本管理有限公司</w:t>
            </w:r>
          </w:p>
        </w:tc>
      </w:tr>
      <w:tr w:rsidR="00CC0FE8" w14:paraId="0B759B6F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17130BC1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耕霁(上海)投资管理有限公司</w:t>
            </w:r>
          </w:p>
        </w:tc>
        <w:tc>
          <w:tcPr>
            <w:tcW w:w="4474" w:type="dxa"/>
            <w:noWrap/>
            <w:vAlign w:val="center"/>
          </w:tcPr>
          <w:p w14:paraId="50B6AF72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</w:rPr>
              <w:t>嘉合基金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管理有限公司</w:t>
            </w:r>
          </w:p>
        </w:tc>
      </w:tr>
      <w:tr w:rsidR="00CC0FE8" w14:paraId="18F7D300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39D89DD5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光大证券股份有限公司</w:t>
            </w:r>
          </w:p>
        </w:tc>
        <w:tc>
          <w:tcPr>
            <w:tcW w:w="4474" w:type="dxa"/>
            <w:noWrap/>
            <w:vAlign w:val="center"/>
          </w:tcPr>
          <w:p w14:paraId="462BCA2C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建信养老金管理有限责任公司</w:t>
            </w:r>
          </w:p>
        </w:tc>
      </w:tr>
      <w:tr w:rsidR="00CC0FE8" w14:paraId="4722C4A4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766678BE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广东正圆私募基金管理有限公司</w:t>
            </w:r>
          </w:p>
        </w:tc>
        <w:tc>
          <w:tcPr>
            <w:tcW w:w="4474" w:type="dxa"/>
            <w:noWrap/>
            <w:vAlign w:val="center"/>
          </w:tcPr>
          <w:p w14:paraId="543317BE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江又达(深圳)私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券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证券基金管理有限公司</w:t>
            </w:r>
          </w:p>
        </w:tc>
      </w:tr>
      <w:tr w:rsidR="00CC0FE8" w14:paraId="6575868E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1BDEA1A5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广发证券股份有限公司</w:t>
            </w:r>
          </w:p>
        </w:tc>
        <w:tc>
          <w:tcPr>
            <w:tcW w:w="4474" w:type="dxa"/>
            <w:noWrap/>
            <w:vAlign w:val="center"/>
          </w:tcPr>
          <w:p w14:paraId="46EBF728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开源证券股份有限公司</w:t>
            </w:r>
          </w:p>
        </w:tc>
      </w:tr>
      <w:tr w:rsidR="00CC0FE8" w14:paraId="63EEC1C8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68B7EB4C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硅谷天堂产业集团股份有限公司</w:t>
            </w:r>
          </w:p>
        </w:tc>
        <w:tc>
          <w:tcPr>
            <w:tcW w:w="4474" w:type="dxa"/>
            <w:noWrap/>
            <w:vAlign w:val="center"/>
          </w:tcPr>
          <w:p w14:paraId="72CAAA28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</w:rPr>
              <w:t>凯基证券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亚洲有限公司</w:t>
            </w:r>
          </w:p>
        </w:tc>
      </w:tr>
      <w:tr w:rsidR="00CC0FE8" w14:paraId="17D0AC01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598CFC3B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国华兴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益保险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资产管理有限公司</w:t>
            </w:r>
          </w:p>
        </w:tc>
        <w:tc>
          <w:tcPr>
            <w:tcW w:w="4474" w:type="dxa"/>
            <w:noWrap/>
            <w:vAlign w:val="center"/>
          </w:tcPr>
          <w:p w14:paraId="10B556D4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民生加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银基金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管理有限公司</w:t>
            </w:r>
          </w:p>
        </w:tc>
      </w:tr>
      <w:tr w:rsidR="00CC0FE8" w14:paraId="5FF15FAC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3B63638D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国金证券股份有限公司</w:t>
            </w:r>
          </w:p>
        </w:tc>
        <w:tc>
          <w:tcPr>
            <w:tcW w:w="4474" w:type="dxa"/>
            <w:noWrap/>
            <w:vAlign w:val="center"/>
          </w:tcPr>
          <w:p w14:paraId="6EEEF31C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摩根大通公司</w:t>
            </w:r>
          </w:p>
        </w:tc>
      </w:tr>
      <w:tr w:rsidR="00CC0FE8" w14:paraId="7B9824EC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49F035E8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国联民生证券股份有限公司</w:t>
            </w:r>
          </w:p>
        </w:tc>
        <w:tc>
          <w:tcPr>
            <w:tcW w:w="4474" w:type="dxa"/>
            <w:noWrap/>
            <w:vAlign w:val="center"/>
          </w:tcPr>
          <w:p w14:paraId="1F50D8C1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摩根大通证券(亚太)有限公司</w:t>
            </w:r>
          </w:p>
        </w:tc>
      </w:tr>
      <w:tr w:rsidR="00CC0FE8" w14:paraId="63186DA4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16CD7683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国盛证券有限责任公司</w:t>
            </w:r>
          </w:p>
        </w:tc>
        <w:tc>
          <w:tcPr>
            <w:tcW w:w="4474" w:type="dxa"/>
            <w:noWrap/>
            <w:vAlign w:val="center"/>
          </w:tcPr>
          <w:p w14:paraId="63482DF8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南华基金管理有限公司</w:t>
            </w:r>
          </w:p>
        </w:tc>
      </w:tr>
      <w:tr w:rsidR="00CC0FE8" w14:paraId="7AB8A17B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3B3311A8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国信证券股份有限公司</w:t>
            </w:r>
          </w:p>
        </w:tc>
        <w:tc>
          <w:tcPr>
            <w:tcW w:w="4474" w:type="dxa"/>
            <w:noWrap/>
            <w:vAlign w:val="center"/>
          </w:tcPr>
          <w:p w14:paraId="31393525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宁远资本有限公司</w:t>
            </w:r>
          </w:p>
        </w:tc>
      </w:tr>
      <w:tr w:rsidR="00CC0FE8" w14:paraId="17FA6DC6" w14:textId="77777777">
        <w:trPr>
          <w:trHeight w:val="528"/>
        </w:trPr>
        <w:tc>
          <w:tcPr>
            <w:tcW w:w="4739" w:type="dxa"/>
            <w:noWrap/>
            <w:vAlign w:val="center"/>
          </w:tcPr>
          <w:p w14:paraId="1817F21C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海南鸿盛私募基金管理有限公司</w:t>
            </w:r>
          </w:p>
        </w:tc>
        <w:tc>
          <w:tcPr>
            <w:tcW w:w="4474" w:type="dxa"/>
            <w:noWrap/>
            <w:vAlign w:val="center"/>
          </w:tcPr>
          <w:p w14:paraId="69AFCA8D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鹏格斯资产管理有限公司</w:t>
            </w:r>
          </w:p>
        </w:tc>
      </w:tr>
    </w:tbl>
    <w:p w14:paraId="7D5203A4" w14:textId="77777777" w:rsidR="00CC0FE8" w:rsidRDefault="00CC0FE8">
      <w:pPr>
        <w:rPr>
          <w:rFonts w:ascii="宋体" w:eastAsia="宋体" w:hAnsi="宋体" w:hint="eastAsia"/>
        </w:rPr>
      </w:pPr>
    </w:p>
    <w:tbl>
      <w:tblPr>
        <w:tblW w:w="9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96"/>
        <w:gridCol w:w="4433"/>
      </w:tblGrid>
      <w:tr w:rsidR="00CC0FE8" w14:paraId="5F47540B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4E62AC0E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前方基金管理有限公司</w:t>
            </w:r>
          </w:p>
        </w:tc>
        <w:tc>
          <w:tcPr>
            <w:tcW w:w="4433" w:type="dxa"/>
            <w:noWrap/>
            <w:vAlign w:val="center"/>
          </w:tcPr>
          <w:p w14:paraId="3A6F6A21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西部利得基金管理有限公司</w:t>
            </w:r>
          </w:p>
        </w:tc>
      </w:tr>
      <w:tr w:rsidR="00CC0FE8" w14:paraId="0ED96193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4E7024F4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群益证券投资信托股份有限公司</w:t>
            </w:r>
          </w:p>
        </w:tc>
        <w:tc>
          <w:tcPr>
            <w:tcW w:w="4433" w:type="dxa"/>
            <w:noWrap/>
            <w:vAlign w:val="center"/>
          </w:tcPr>
          <w:p w14:paraId="3F468141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西部长江企业管理(重庆)有限公司</w:t>
            </w:r>
          </w:p>
        </w:tc>
      </w:tr>
      <w:tr w:rsidR="00CC0FE8" w14:paraId="2FE42EC5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4480F867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瑞银集团</w:t>
            </w:r>
          </w:p>
        </w:tc>
        <w:tc>
          <w:tcPr>
            <w:tcW w:w="4433" w:type="dxa"/>
            <w:noWrap/>
            <w:vAlign w:val="center"/>
          </w:tcPr>
          <w:p w14:paraId="22C66382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西部证券股份有限公司</w:t>
            </w:r>
          </w:p>
        </w:tc>
      </w:tr>
      <w:tr w:rsidR="00CC0FE8" w14:paraId="158480A7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5FE30C6A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瑞银证券有限责任公司</w:t>
            </w:r>
          </w:p>
        </w:tc>
        <w:tc>
          <w:tcPr>
            <w:tcW w:w="4433" w:type="dxa"/>
            <w:noWrap/>
            <w:vAlign w:val="center"/>
          </w:tcPr>
          <w:p w14:paraId="246017F9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西藏合众易晟投资管理有限责任公司</w:t>
            </w:r>
          </w:p>
        </w:tc>
      </w:tr>
      <w:tr w:rsidR="00CC0FE8" w14:paraId="6B0FC983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17484E4D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</w:rPr>
              <w:t>瑞众人寿保险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有限责任公司</w:t>
            </w:r>
          </w:p>
        </w:tc>
        <w:tc>
          <w:tcPr>
            <w:tcW w:w="4433" w:type="dxa"/>
            <w:noWrap/>
            <w:vAlign w:val="center"/>
          </w:tcPr>
          <w:p w14:paraId="4BF0AC53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湘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财基金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管理有限公司</w:t>
            </w:r>
          </w:p>
        </w:tc>
      </w:tr>
      <w:tr w:rsidR="00CC0FE8" w14:paraId="738A22F5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57B28CDE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厦门象屿金象控股集团有限公司</w:t>
            </w:r>
          </w:p>
        </w:tc>
        <w:tc>
          <w:tcPr>
            <w:tcW w:w="4433" w:type="dxa"/>
            <w:noWrap/>
            <w:vAlign w:val="center"/>
          </w:tcPr>
          <w:p w14:paraId="77D2F83D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兴业证券股份有限公司</w:t>
            </w:r>
          </w:p>
        </w:tc>
      </w:tr>
      <w:tr w:rsidR="00CC0FE8" w14:paraId="55A4BC8C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156C194D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上海博笃投资管理有限公司</w:t>
            </w:r>
          </w:p>
        </w:tc>
        <w:tc>
          <w:tcPr>
            <w:tcW w:w="4433" w:type="dxa"/>
            <w:noWrap/>
            <w:vAlign w:val="center"/>
          </w:tcPr>
          <w:p w14:paraId="6F136208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兴银理财有限责任公司</w:t>
            </w:r>
          </w:p>
        </w:tc>
      </w:tr>
      <w:tr w:rsidR="00CC0FE8" w14:paraId="2462B41E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2BE23993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上海度势投资有限公司</w:t>
            </w:r>
          </w:p>
        </w:tc>
        <w:tc>
          <w:tcPr>
            <w:tcW w:w="4433" w:type="dxa"/>
            <w:noWrap/>
            <w:vAlign w:val="center"/>
          </w:tcPr>
          <w:p w14:paraId="20C799C4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</w:rPr>
              <w:t>玄卜投资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(上海)有限公司</w:t>
            </w:r>
          </w:p>
        </w:tc>
      </w:tr>
      <w:tr w:rsidR="00CC0FE8" w14:paraId="1F0073BC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79A4BA69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上海光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合未来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私募基金管理有限公司</w:t>
            </w:r>
          </w:p>
        </w:tc>
        <w:tc>
          <w:tcPr>
            <w:tcW w:w="4433" w:type="dxa"/>
            <w:noWrap/>
            <w:vAlign w:val="center"/>
          </w:tcPr>
          <w:p w14:paraId="3F905457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野村东方国际证券有限公司</w:t>
            </w:r>
          </w:p>
        </w:tc>
      </w:tr>
      <w:tr w:rsidR="00CC0FE8" w14:paraId="79D9B227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6F64BCE0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上海恒复投资管理有限公司</w:t>
            </w:r>
          </w:p>
        </w:tc>
        <w:tc>
          <w:tcPr>
            <w:tcW w:w="4433" w:type="dxa"/>
            <w:noWrap/>
            <w:vAlign w:val="center"/>
          </w:tcPr>
          <w:p w14:paraId="06AEC574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银河基金管理有限公司</w:t>
            </w:r>
          </w:p>
        </w:tc>
      </w:tr>
      <w:tr w:rsidR="00CC0FE8" w14:paraId="79BB2BE9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2F947928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上海明河投资管理有限公司</w:t>
            </w:r>
          </w:p>
        </w:tc>
        <w:tc>
          <w:tcPr>
            <w:tcW w:w="4433" w:type="dxa"/>
            <w:noWrap/>
            <w:vAlign w:val="center"/>
          </w:tcPr>
          <w:p w14:paraId="6DF8B817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粤港澳大湾区科技创新产业投资基金(有限合伙)</w:t>
            </w:r>
          </w:p>
        </w:tc>
      </w:tr>
      <w:tr w:rsidR="00CC0FE8" w14:paraId="4895F91D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1C9076AB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上海摩旗投资管理有限公司</w:t>
            </w:r>
          </w:p>
        </w:tc>
        <w:tc>
          <w:tcPr>
            <w:tcW w:w="4433" w:type="dxa"/>
            <w:noWrap/>
            <w:vAlign w:val="center"/>
          </w:tcPr>
          <w:p w14:paraId="6D253CAF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张家港高竹私募基金管理有限公司</w:t>
            </w:r>
          </w:p>
        </w:tc>
      </w:tr>
      <w:tr w:rsidR="00CC0FE8" w14:paraId="3BCFB200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3C82AAF9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上海申银万国证券研究所有限公司</w:t>
            </w:r>
          </w:p>
        </w:tc>
        <w:tc>
          <w:tcPr>
            <w:tcW w:w="4433" w:type="dxa"/>
            <w:noWrap/>
            <w:vAlign w:val="center"/>
          </w:tcPr>
          <w:p w14:paraId="7BE5D956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长安基金管理有限公司</w:t>
            </w:r>
          </w:p>
        </w:tc>
      </w:tr>
      <w:tr w:rsidR="00CC0FE8" w14:paraId="79EE5E47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29EC8A49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</w:rPr>
              <w:t>申万宏源证券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有限公司</w:t>
            </w:r>
          </w:p>
        </w:tc>
        <w:tc>
          <w:tcPr>
            <w:tcW w:w="4433" w:type="dxa"/>
            <w:noWrap/>
            <w:vAlign w:val="center"/>
          </w:tcPr>
          <w:p w14:paraId="7281D5A7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长江证券股份有限公司</w:t>
            </w:r>
          </w:p>
        </w:tc>
      </w:tr>
      <w:tr w:rsidR="00CC0FE8" w14:paraId="51E9AAC3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48A3B850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深圳大道至诚投资管理合伙企业(有限合伙)</w:t>
            </w:r>
          </w:p>
        </w:tc>
        <w:tc>
          <w:tcPr>
            <w:tcW w:w="4433" w:type="dxa"/>
            <w:noWrap/>
            <w:vAlign w:val="center"/>
          </w:tcPr>
          <w:p w14:paraId="4BE2ABE7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浙江农村商业联合银行股份有限公司</w:t>
            </w:r>
          </w:p>
        </w:tc>
      </w:tr>
      <w:tr w:rsidR="00CC0FE8" w14:paraId="38026387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0C48DF9F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深圳富存投资管理有限公司</w:t>
            </w:r>
          </w:p>
        </w:tc>
        <w:tc>
          <w:tcPr>
            <w:tcW w:w="4433" w:type="dxa"/>
            <w:noWrap/>
            <w:vAlign w:val="center"/>
          </w:tcPr>
          <w:p w14:paraId="62B79600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中国国际金融股份有限公司</w:t>
            </w:r>
          </w:p>
        </w:tc>
      </w:tr>
      <w:tr w:rsidR="00CC0FE8" w14:paraId="3F8ECA6E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4EB1109A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深圳乐中控股有限公司</w:t>
            </w:r>
          </w:p>
        </w:tc>
        <w:tc>
          <w:tcPr>
            <w:tcW w:w="4433" w:type="dxa"/>
            <w:noWrap/>
            <w:vAlign w:val="center"/>
          </w:tcPr>
          <w:p w14:paraId="79D6C69F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中国投资有限责任公司</w:t>
            </w:r>
          </w:p>
        </w:tc>
      </w:tr>
      <w:tr w:rsidR="00CC0FE8" w14:paraId="02C46457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63F8C3C9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深圳前海君安资产管理有限公司</w:t>
            </w:r>
          </w:p>
        </w:tc>
        <w:tc>
          <w:tcPr>
            <w:tcW w:w="4433" w:type="dxa"/>
            <w:noWrap/>
            <w:vAlign w:val="center"/>
          </w:tcPr>
          <w:p w14:paraId="597BF073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中国银河证券股份有限公司</w:t>
            </w:r>
          </w:p>
        </w:tc>
      </w:tr>
      <w:tr w:rsidR="00CC0FE8" w14:paraId="4BD891D3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434A1B0C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深圳市国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晖投资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有限公司</w:t>
            </w:r>
          </w:p>
        </w:tc>
        <w:tc>
          <w:tcPr>
            <w:tcW w:w="4433" w:type="dxa"/>
            <w:noWrap/>
            <w:vAlign w:val="center"/>
          </w:tcPr>
          <w:p w14:paraId="0CFC731B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中国银行股份有限公司</w:t>
            </w:r>
          </w:p>
        </w:tc>
      </w:tr>
      <w:tr w:rsidR="00CC0FE8" w14:paraId="10642241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4E5F1C46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</w:rPr>
              <w:t>深圳市尚诚资产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管理有限责任公司</w:t>
            </w:r>
          </w:p>
        </w:tc>
        <w:tc>
          <w:tcPr>
            <w:tcW w:w="4433" w:type="dxa"/>
            <w:noWrap/>
            <w:vAlign w:val="center"/>
          </w:tcPr>
          <w:p w14:paraId="31CC945B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中泰证券股份有限公司</w:t>
            </w:r>
          </w:p>
        </w:tc>
      </w:tr>
      <w:tr w:rsidR="00CC0FE8" w14:paraId="7B7C0D28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6C82DE1E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深圳中天汇富基金管理有限公司</w:t>
            </w:r>
          </w:p>
        </w:tc>
        <w:tc>
          <w:tcPr>
            <w:tcW w:w="4433" w:type="dxa"/>
            <w:noWrap/>
            <w:vAlign w:val="center"/>
          </w:tcPr>
          <w:p w14:paraId="7390222D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中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信建投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(国际)金融控股有限公司</w:t>
            </w:r>
          </w:p>
        </w:tc>
      </w:tr>
      <w:tr w:rsidR="00CC0FE8" w14:paraId="03F8894D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6111BEA0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太平洋证券股份有限公司</w:t>
            </w:r>
          </w:p>
        </w:tc>
        <w:tc>
          <w:tcPr>
            <w:tcW w:w="4433" w:type="dxa"/>
            <w:noWrap/>
            <w:vAlign w:val="center"/>
          </w:tcPr>
          <w:p w14:paraId="00CAED26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中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信建投证券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股份有限公司</w:t>
            </w:r>
          </w:p>
        </w:tc>
      </w:tr>
      <w:tr w:rsidR="00CC0FE8" w14:paraId="68930EFE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70B7EED1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天风证券股份有限公司</w:t>
            </w:r>
          </w:p>
        </w:tc>
        <w:tc>
          <w:tcPr>
            <w:tcW w:w="4433" w:type="dxa"/>
            <w:noWrap/>
            <w:vAlign w:val="center"/>
          </w:tcPr>
          <w:p w14:paraId="5B51B4D4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中信期货有限公司</w:t>
            </w:r>
          </w:p>
        </w:tc>
      </w:tr>
      <w:tr w:rsidR="00CC0FE8" w14:paraId="701322CC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6CB30847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五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矿证券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有限公司</w:t>
            </w:r>
          </w:p>
        </w:tc>
        <w:tc>
          <w:tcPr>
            <w:tcW w:w="4433" w:type="dxa"/>
            <w:noWrap/>
            <w:vAlign w:val="center"/>
          </w:tcPr>
          <w:p w14:paraId="2B517C1D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中银国际证券股份有限公司</w:t>
            </w:r>
          </w:p>
        </w:tc>
      </w:tr>
      <w:tr w:rsidR="00CC0FE8" w14:paraId="3ABAE899" w14:textId="77777777">
        <w:trPr>
          <w:trHeight w:val="517"/>
        </w:trPr>
        <w:tc>
          <w:tcPr>
            <w:tcW w:w="4696" w:type="dxa"/>
            <w:noWrap/>
            <w:vAlign w:val="center"/>
          </w:tcPr>
          <w:p w14:paraId="292AEA24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西安江岳私募基金管理有限公司</w:t>
            </w:r>
          </w:p>
        </w:tc>
        <w:tc>
          <w:tcPr>
            <w:tcW w:w="4433" w:type="dxa"/>
            <w:noWrap/>
            <w:vAlign w:val="center"/>
          </w:tcPr>
          <w:p w14:paraId="6E652EA2" w14:textId="77777777" w:rsidR="00CC0FE8" w:rsidRDefault="00000000">
            <w:pPr>
              <w:widowControl/>
              <w:snapToGrid/>
              <w:spacing w:before="0" w:after="0" w:line="240" w:lineRule="auto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</w:rPr>
              <w:t>珠海景瑞私募基金管理有限公司</w:t>
            </w:r>
          </w:p>
        </w:tc>
      </w:tr>
    </w:tbl>
    <w:p w14:paraId="2F7A1737" w14:textId="77777777" w:rsidR="00CC0FE8" w:rsidRDefault="00CC0FE8">
      <w:pPr>
        <w:rPr>
          <w:rFonts w:ascii="宋体" w:eastAsia="宋体" w:hAnsi="宋体" w:hint="eastAsia"/>
        </w:rPr>
      </w:pPr>
    </w:p>
    <w:sectPr w:rsidR="00CC0FE8"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4FE3" w14:textId="77777777" w:rsidR="00A07CEF" w:rsidRDefault="00A07CE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04027A7" w14:textId="77777777" w:rsidR="00A07CEF" w:rsidRDefault="00A07CE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orHAnsi">
    <w:altName w:val="Cambria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4692" w14:textId="77777777" w:rsidR="00A07CEF" w:rsidRDefault="00A07CEF">
      <w:pPr>
        <w:spacing w:before="0" w:after="0"/>
        <w:rPr>
          <w:rFonts w:hint="eastAsia"/>
        </w:rPr>
      </w:pPr>
      <w:r>
        <w:separator/>
      </w:r>
    </w:p>
  </w:footnote>
  <w:footnote w:type="continuationSeparator" w:id="0">
    <w:p w14:paraId="0D8D8EB7" w14:textId="77777777" w:rsidR="00A07CEF" w:rsidRDefault="00A07CEF">
      <w:pPr>
        <w:spacing w:before="0"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OWIzMmQ0ZTZjYmExYWI3NmMxYzZlMjFhZDU5OGUifQ=="/>
  </w:docVars>
  <w:rsids>
    <w:rsidRoot w:val="00E023A0"/>
    <w:rsid w:val="00127195"/>
    <w:rsid w:val="00144F5E"/>
    <w:rsid w:val="001A0807"/>
    <w:rsid w:val="001A1216"/>
    <w:rsid w:val="001E5CA3"/>
    <w:rsid w:val="00262110"/>
    <w:rsid w:val="002F5E93"/>
    <w:rsid w:val="0034159D"/>
    <w:rsid w:val="00356540"/>
    <w:rsid w:val="00360E4B"/>
    <w:rsid w:val="003974A4"/>
    <w:rsid w:val="00442139"/>
    <w:rsid w:val="00480717"/>
    <w:rsid w:val="004F65E6"/>
    <w:rsid w:val="00500759"/>
    <w:rsid w:val="00552FCC"/>
    <w:rsid w:val="00673221"/>
    <w:rsid w:val="00680AC3"/>
    <w:rsid w:val="006D4D98"/>
    <w:rsid w:val="0071773F"/>
    <w:rsid w:val="007452DF"/>
    <w:rsid w:val="00785DED"/>
    <w:rsid w:val="00826DB8"/>
    <w:rsid w:val="008F4B3F"/>
    <w:rsid w:val="00962376"/>
    <w:rsid w:val="00A07CEF"/>
    <w:rsid w:val="00A64068"/>
    <w:rsid w:val="00A8531F"/>
    <w:rsid w:val="00AA5554"/>
    <w:rsid w:val="00AB48AD"/>
    <w:rsid w:val="00B51C46"/>
    <w:rsid w:val="00B52E13"/>
    <w:rsid w:val="00BC3DAE"/>
    <w:rsid w:val="00C43124"/>
    <w:rsid w:val="00CC0FE8"/>
    <w:rsid w:val="00CF3DC6"/>
    <w:rsid w:val="00D63B23"/>
    <w:rsid w:val="00DA6772"/>
    <w:rsid w:val="00E023A0"/>
    <w:rsid w:val="00E30CE3"/>
    <w:rsid w:val="00E51533"/>
    <w:rsid w:val="00F10389"/>
    <w:rsid w:val="00F21B23"/>
    <w:rsid w:val="00F23E49"/>
    <w:rsid w:val="00F8061B"/>
    <w:rsid w:val="00F825D7"/>
    <w:rsid w:val="00FA4996"/>
    <w:rsid w:val="00FB0610"/>
    <w:rsid w:val="00FB27A4"/>
    <w:rsid w:val="0C143F8C"/>
    <w:rsid w:val="0D4E2090"/>
    <w:rsid w:val="10BF4F28"/>
    <w:rsid w:val="124E6A57"/>
    <w:rsid w:val="15B44F69"/>
    <w:rsid w:val="163C4114"/>
    <w:rsid w:val="167B5B2C"/>
    <w:rsid w:val="16A214A7"/>
    <w:rsid w:val="1BEA58FD"/>
    <w:rsid w:val="25EF26A3"/>
    <w:rsid w:val="36633F9E"/>
    <w:rsid w:val="36C67BCD"/>
    <w:rsid w:val="37C63D77"/>
    <w:rsid w:val="390F39AA"/>
    <w:rsid w:val="39A54278"/>
    <w:rsid w:val="40C25CEB"/>
    <w:rsid w:val="48EC59F1"/>
    <w:rsid w:val="4A1A3307"/>
    <w:rsid w:val="4F7715E8"/>
    <w:rsid w:val="4F7F3D17"/>
    <w:rsid w:val="555313D1"/>
    <w:rsid w:val="61334AA0"/>
    <w:rsid w:val="68FC644B"/>
    <w:rsid w:val="73DC651F"/>
    <w:rsid w:val="796C59F8"/>
    <w:rsid w:val="7E61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152F"/>
  <w15:docId w15:val="{1EDCBA79-6AE1-4D97-8A9E-EC66EEDB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napToGrid w:val="0"/>
      <w:spacing w:before="60" w:after="60" w:line="312" w:lineRule="auto"/>
    </w:pPr>
    <w:rPr>
      <w:rFonts w:ascii="minorHAnsi" w:eastAsiaTheme="minorEastAsia" w:hAnsi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before="0"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rPr>
      <w:sz w:val="24"/>
    </w:rPr>
  </w:style>
  <w:style w:type="paragraph" w:styleId="aa">
    <w:name w:val="Title"/>
    <w:basedOn w:val="a"/>
    <w:next w:val="a"/>
    <w:autoRedefine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b">
    <w:name w:val="Table Grid"/>
    <w:basedOn w:val="a1"/>
    <w:autoRedefine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="minorHAnsi" w:eastAsiaTheme="minorEastAsia" w:hAnsi="minorHAnsi" w:cstheme="minorBidi"/>
      <w:color w:val="333333"/>
      <w:kern w:val="2"/>
      <w:sz w:val="22"/>
      <w:szCs w:val="2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minorHAnsi" w:eastAsiaTheme="minorEastAsia" w:hAnsi="minorHAnsi" w:cstheme="minorBidi"/>
      <w:color w:val="33333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2025-10-20T08:37:00Z</dcterms:created>
  <dcterms:modified xsi:type="dcterms:W3CDTF">2025-10-20T08:37:00Z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71A2EA88C0FE4BFCBB344186987C60AF_13</vt:lpwstr>
  </property>
</Properties>
</file>