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210">
      <w:pPr>
        <w:adjustRightInd w:val="0"/>
        <w:snapToGrid w:val="0"/>
        <w:spacing w:line="360" w:lineRule="auto"/>
        <w:jc w:val="left"/>
        <w:rPr>
          <w:rFonts w:hint="eastAsia" w:ascii="宋体" w:hAnsi="宋体"/>
          <w:sz w:val="24"/>
        </w:rPr>
      </w:pPr>
      <w:r>
        <w:rPr>
          <w:rFonts w:hint="eastAsia" w:ascii="宋体" w:hAnsi="宋体"/>
          <w:sz w:val="24"/>
        </w:rPr>
        <w:t>证券代码：</w:t>
      </w:r>
      <w:r>
        <w:rPr>
          <w:rFonts w:ascii="宋体" w:hAnsi="宋体"/>
          <w:sz w:val="24"/>
        </w:rPr>
        <w:t>688456</w:t>
      </w:r>
      <w:r>
        <w:rPr>
          <w:rFonts w:hint="eastAsia" w:ascii="宋体" w:hAnsi="宋体"/>
          <w:sz w:val="24"/>
        </w:rPr>
        <w:t xml:space="preserve">       </w:t>
      </w:r>
      <w:r>
        <w:rPr>
          <w:rFonts w:ascii="宋体" w:hAnsi="宋体"/>
          <w:sz w:val="24"/>
        </w:rPr>
        <w:t xml:space="preserve">                            </w:t>
      </w:r>
      <w:r>
        <w:rPr>
          <w:rFonts w:hint="eastAsia" w:ascii="宋体" w:hAnsi="宋体"/>
          <w:sz w:val="24"/>
        </w:rPr>
        <w:t>证券简称：有研粉材</w:t>
      </w:r>
    </w:p>
    <w:p w14:paraId="2FC8B190">
      <w:pPr>
        <w:adjustRightInd w:val="0"/>
        <w:spacing w:line="360" w:lineRule="auto"/>
        <w:jc w:val="center"/>
        <w:rPr>
          <w:rFonts w:hint="eastAsia" w:ascii="宋体" w:hAnsi="宋体" w:cs="宋体"/>
          <w:b/>
          <w:color w:val="000000"/>
          <w:kern w:val="0"/>
          <w:sz w:val="24"/>
        </w:rPr>
      </w:pPr>
    </w:p>
    <w:p w14:paraId="41509B4F">
      <w:pPr>
        <w:adjustRightInd w:val="0"/>
        <w:spacing w:line="360" w:lineRule="auto"/>
        <w:jc w:val="center"/>
        <w:rPr>
          <w:rFonts w:hint="eastAsia" w:ascii="宋体" w:hAnsi="宋体"/>
          <w:b/>
          <w:bCs/>
          <w:color w:val="FF0000"/>
          <w:sz w:val="32"/>
          <w:szCs w:val="32"/>
        </w:rPr>
      </w:pPr>
      <w:r>
        <w:rPr>
          <w:rFonts w:hint="eastAsia" w:ascii="宋体" w:hAnsi="宋体"/>
          <w:b/>
          <w:bCs/>
          <w:color w:val="FF0000"/>
          <w:sz w:val="32"/>
          <w:szCs w:val="32"/>
        </w:rPr>
        <w:t>有研粉末新材料股份有限公司</w:t>
      </w:r>
      <w:bookmarkStart w:id="0" w:name="_GoBack"/>
      <w:bookmarkEnd w:id="0"/>
    </w:p>
    <w:p w14:paraId="4C62EFCE">
      <w:pPr>
        <w:adjustRightInd w:val="0"/>
        <w:spacing w:line="360" w:lineRule="auto"/>
        <w:jc w:val="center"/>
        <w:rPr>
          <w:rFonts w:hint="eastAsia" w:ascii="宋体" w:hAnsi="宋体"/>
          <w:color w:val="000000"/>
          <w:sz w:val="24"/>
        </w:rPr>
      </w:pPr>
      <w:r>
        <w:rPr>
          <w:rFonts w:hint="eastAsia"/>
          <w:b/>
          <w:bCs/>
          <w:color w:val="FF0000"/>
          <w:sz w:val="32"/>
          <w:szCs w:val="32"/>
        </w:rPr>
        <w:t>投资者关系活动记录表（202</w:t>
      </w:r>
      <w:r>
        <w:rPr>
          <w:rFonts w:hint="eastAsia"/>
          <w:b/>
          <w:bCs/>
          <w:color w:val="FF0000"/>
          <w:sz w:val="32"/>
          <w:szCs w:val="32"/>
          <w:lang w:val="en-US" w:eastAsia="zh-CN"/>
        </w:rPr>
        <w:t>5</w:t>
      </w:r>
      <w:r>
        <w:rPr>
          <w:rFonts w:hint="eastAsia"/>
          <w:b/>
          <w:bCs/>
          <w:color w:val="FF0000"/>
          <w:sz w:val="32"/>
          <w:szCs w:val="32"/>
        </w:rPr>
        <w:t>年</w:t>
      </w:r>
      <w:r>
        <w:rPr>
          <w:rFonts w:hint="eastAsia"/>
          <w:b/>
          <w:bCs/>
          <w:color w:val="FF0000"/>
          <w:sz w:val="32"/>
          <w:szCs w:val="32"/>
          <w:lang w:val="en-US" w:eastAsia="zh-CN"/>
        </w:rPr>
        <w:t>10</w:t>
      </w:r>
      <w:r>
        <w:rPr>
          <w:rFonts w:hint="eastAsia"/>
          <w:b/>
          <w:bCs/>
          <w:color w:val="FF0000"/>
          <w:sz w:val="32"/>
          <w:szCs w:val="32"/>
        </w:rPr>
        <w:t>月</w:t>
      </w:r>
      <w:r>
        <w:rPr>
          <w:rFonts w:hint="eastAsia"/>
          <w:b/>
          <w:bCs/>
          <w:color w:val="FF0000"/>
          <w:sz w:val="32"/>
          <w:szCs w:val="32"/>
          <w:lang w:val="en-US" w:eastAsia="zh-CN"/>
        </w:rPr>
        <w:t>16</w:t>
      </w:r>
      <w:r>
        <w:rPr>
          <w:rFonts w:hint="eastAsia"/>
          <w:b/>
          <w:bCs/>
          <w:color w:val="FF0000"/>
          <w:sz w:val="32"/>
          <w:szCs w:val="32"/>
        </w:rPr>
        <w:t>日</w:t>
      </w:r>
      <w:r>
        <w:rPr>
          <w:rFonts w:hint="eastAsia"/>
          <w:b/>
          <w:bCs/>
          <w:color w:val="FF0000"/>
          <w:sz w:val="32"/>
          <w:szCs w:val="32"/>
          <w:lang w:eastAsia="zh-CN"/>
        </w:rPr>
        <w:t>、</w:t>
      </w:r>
      <w:r>
        <w:rPr>
          <w:rFonts w:hint="eastAsia"/>
          <w:b/>
          <w:bCs/>
          <w:color w:val="FF0000"/>
          <w:sz w:val="32"/>
          <w:szCs w:val="32"/>
          <w:lang w:val="en-US" w:eastAsia="zh-CN"/>
        </w:rPr>
        <w:t>10月17日</w:t>
      </w:r>
      <w:r>
        <w:rPr>
          <w:rFonts w:hint="eastAsia"/>
          <w:b/>
          <w:bCs/>
          <w:color w:val="FF0000"/>
          <w:sz w:val="32"/>
          <w:szCs w:val="32"/>
        </w:rPr>
        <w:t>）</w:t>
      </w:r>
    </w:p>
    <w:p w14:paraId="0A967DF7">
      <w:pPr>
        <w:spacing w:line="360" w:lineRule="auto"/>
        <w:rPr>
          <w:rFonts w:hint="eastAsia" w:ascii="宋体" w:hAnsi="宋体"/>
          <w:color w:val="00000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0A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A6B3530">
            <w:pPr>
              <w:spacing w:line="360" w:lineRule="auto"/>
              <w:rPr>
                <w:rFonts w:hint="eastAsia" w:ascii="宋体" w:hAnsi="宋体"/>
                <w:color w:val="000000"/>
                <w:sz w:val="24"/>
              </w:rPr>
            </w:pPr>
            <w:r>
              <w:rPr>
                <w:rFonts w:hint="eastAsia" w:ascii="宋体" w:hAnsi="宋体"/>
                <w:color w:val="000000"/>
                <w:sz w:val="24"/>
              </w:rPr>
              <w:t>投资者关系活动类别</w:t>
            </w:r>
          </w:p>
        </w:tc>
        <w:tc>
          <w:tcPr>
            <w:tcW w:w="6316" w:type="dxa"/>
          </w:tcPr>
          <w:p w14:paraId="0DE43EB8">
            <w:pPr>
              <w:spacing w:line="360" w:lineRule="auto"/>
              <w:rPr>
                <w:rFonts w:ascii="Courier New" w:hAnsi="Courier New" w:cs="Courier New"/>
                <w:sz w:val="27"/>
                <w:szCs w:val="27"/>
                <w:shd w:val="clear" w:color="auto" w:fill="FFFFFF"/>
              </w:rPr>
            </w:pPr>
            <w:r>
              <w:rPr>
                <w:rFonts w:ascii="Segoe UI Symbol" w:hAnsi="Segoe UI Symbol" w:cs="Segoe UI Symbol"/>
                <w:sz w:val="27"/>
                <w:szCs w:val="27"/>
                <w:shd w:val="clear" w:color="auto" w:fill="FFFFFF"/>
              </w:rPr>
              <w:t>☑</w:t>
            </w:r>
            <w:r>
              <w:rPr>
                <w:rFonts w:ascii="Courier New" w:hAnsi="Courier New" w:cs="Courier New"/>
                <w:sz w:val="27"/>
                <w:szCs w:val="27"/>
                <w:shd w:val="clear" w:color="auto" w:fill="FFFFFF"/>
              </w:rPr>
              <w:t>特定对象调研</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分析师会议</w:t>
            </w:r>
          </w:p>
          <w:p w14:paraId="0846C8E0">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媒体采访</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业绩说明会</w:t>
            </w:r>
          </w:p>
          <w:p w14:paraId="1E94FD6A">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新闻发布会</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路演活动</w:t>
            </w:r>
          </w:p>
          <w:p w14:paraId="54CA7C49">
            <w:pPr>
              <w:spacing w:line="360" w:lineRule="auto"/>
              <w:rPr>
                <w:rFonts w:hint="eastAsia" w:ascii="宋体" w:hAnsi="宋体" w:cs="Arial"/>
                <w:sz w:val="27"/>
                <w:szCs w:val="27"/>
                <w:shd w:val="clear" w:color="auto" w:fill="FFFFFF"/>
              </w:rPr>
            </w:pPr>
            <w:r>
              <w:rPr>
                <w:rFonts w:hint="eastAsia" w:ascii="宋体" w:hAnsi="宋体" w:cs="Arial"/>
                <w:sz w:val="27"/>
                <w:szCs w:val="27"/>
                <w:shd w:val="clear" w:color="auto" w:fill="FFFFFF"/>
              </w:rPr>
              <w:t xml:space="preserve">□现场参观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 xml:space="preserve">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□电话会议</w:t>
            </w:r>
          </w:p>
          <w:p w14:paraId="770EDFDF">
            <w:pPr>
              <w:spacing w:line="360" w:lineRule="auto"/>
              <w:rPr>
                <w:rFonts w:hint="eastAsia" w:ascii="宋体" w:hAnsi="宋体"/>
                <w:color w:val="000000"/>
                <w:sz w:val="24"/>
              </w:rPr>
            </w:pPr>
            <w:r>
              <w:rPr>
                <w:rFonts w:hint="eastAsia" w:ascii="宋体" w:hAnsi="宋体" w:cs="Arial"/>
                <w:sz w:val="27"/>
                <w:szCs w:val="27"/>
                <w:shd w:val="clear" w:color="auto" w:fill="FFFFFF"/>
              </w:rPr>
              <w:t>□其他</w:t>
            </w:r>
          </w:p>
        </w:tc>
      </w:tr>
      <w:tr w14:paraId="1D4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44F4F4C">
            <w:pPr>
              <w:spacing w:line="360" w:lineRule="auto"/>
              <w:rPr>
                <w:rFonts w:hint="eastAsia" w:ascii="宋体" w:hAnsi="宋体"/>
                <w:color w:val="000000"/>
                <w:sz w:val="24"/>
              </w:rPr>
            </w:pPr>
            <w:r>
              <w:rPr>
                <w:rFonts w:hint="eastAsia" w:ascii="宋体" w:hAnsi="宋体"/>
                <w:color w:val="000000"/>
                <w:sz w:val="24"/>
              </w:rPr>
              <w:t>参与单位名称</w:t>
            </w:r>
          </w:p>
        </w:tc>
        <w:tc>
          <w:tcPr>
            <w:tcW w:w="6316" w:type="dxa"/>
          </w:tcPr>
          <w:p w14:paraId="59D40D8E">
            <w:pPr>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浙商证券、方正证券、华夏基金、工银安盛资管</w:t>
            </w:r>
          </w:p>
        </w:tc>
      </w:tr>
      <w:tr w14:paraId="0E66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813797F">
            <w:pPr>
              <w:spacing w:line="360" w:lineRule="auto"/>
              <w:rPr>
                <w:rFonts w:hint="eastAsia" w:ascii="宋体" w:hAnsi="宋体"/>
                <w:color w:val="000000"/>
                <w:sz w:val="24"/>
              </w:rPr>
            </w:pPr>
            <w:r>
              <w:rPr>
                <w:rFonts w:hint="eastAsia" w:ascii="宋体" w:hAnsi="宋体"/>
                <w:color w:val="000000"/>
                <w:sz w:val="24"/>
              </w:rPr>
              <w:t>会议时间</w:t>
            </w:r>
          </w:p>
        </w:tc>
        <w:tc>
          <w:tcPr>
            <w:tcW w:w="6316" w:type="dxa"/>
          </w:tcPr>
          <w:p w14:paraId="217B332C">
            <w:pPr>
              <w:spacing w:line="360" w:lineRule="auto"/>
              <w:ind w:firstLine="0" w:firstLineChars="0"/>
              <w:rPr>
                <w:rFonts w:hint="default" w:ascii="宋体" w:hAnsi="宋体" w:eastAsia="宋体"/>
                <w:color w:val="000000"/>
                <w:sz w:val="24"/>
                <w:lang w:val="en-US" w:eastAsia="zh-CN"/>
              </w:rPr>
            </w:pPr>
            <w:r>
              <w:rPr>
                <w:rFonts w:hint="eastAsia" w:ascii="宋体" w:hAnsi="宋体"/>
                <w:color w:val="000000"/>
                <w:sz w:val="24"/>
              </w:rPr>
              <w:t>202</w:t>
            </w:r>
            <w:r>
              <w:rPr>
                <w:rFonts w:hint="eastAsia" w:ascii="宋体" w:hAnsi="宋体"/>
                <w:color w:val="000000"/>
                <w:sz w:val="24"/>
                <w:lang w:val="en-US" w:eastAsia="zh-CN"/>
              </w:rPr>
              <w:t>5年10</w:t>
            </w:r>
            <w:r>
              <w:rPr>
                <w:rFonts w:hint="eastAsia" w:ascii="宋体" w:hAnsi="宋体"/>
                <w:color w:val="000000"/>
                <w:sz w:val="24"/>
              </w:rPr>
              <w:t>月</w:t>
            </w:r>
            <w:r>
              <w:rPr>
                <w:rFonts w:hint="eastAsia" w:ascii="宋体" w:hAnsi="宋体"/>
                <w:color w:val="000000"/>
                <w:sz w:val="24"/>
                <w:lang w:val="en-US" w:eastAsia="zh-CN"/>
              </w:rPr>
              <w:t xml:space="preserve">16日-17日 </w:t>
            </w:r>
          </w:p>
        </w:tc>
      </w:tr>
      <w:tr w14:paraId="518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9F826CB">
            <w:pPr>
              <w:spacing w:line="360" w:lineRule="auto"/>
              <w:rPr>
                <w:rFonts w:hint="eastAsia" w:ascii="宋体" w:hAnsi="宋体"/>
                <w:color w:val="000000"/>
                <w:sz w:val="24"/>
              </w:rPr>
            </w:pPr>
            <w:r>
              <w:rPr>
                <w:rFonts w:hint="eastAsia" w:ascii="宋体" w:hAnsi="宋体"/>
                <w:color w:val="000000"/>
                <w:sz w:val="24"/>
              </w:rPr>
              <w:t>会议地点</w:t>
            </w:r>
          </w:p>
        </w:tc>
        <w:tc>
          <w:tcPr>
            <w:tcW w:w="6316" w:type="dxa"/>
          </w:tcPr>
          <w:p w14:paraId="5FF4E85A">
            <w:pPr>
              <w:spacing w:line="360" w:lineRule="auto"/>
              <w:rPr>
                <w:rFonts w:hint="default" w:ascii="宋体" w:hAnsi="宋体" w:eastAsia="宋体"/>
                <w:color w:val="000000"/>
                <w:sz w:val="24"/>
                <w:lang w:val="en-US" w:eastAsia="zh-CN"/>
              </w:rPr>
            </w:pPr>
            <w:r>
              <w:rPr>
                <w:rFonts w:hint="eastAsia" w:ascii="宋体" w:hAnsi="宋体"/>
                <w:color w:val="000000"/>
                <w:sz w:val="24"/>
              </w:rPr>
              <w:t>有研</w:t>
            </w:r>
            <w:r>
              <w:rPr>
                <w:rFonts w:hint="eastAsia" w:ascii="宋体" w:hAnsi="宋体"/>
                <w:color w:val="000000"/>
                <w:sz w:val="24"/>
                <w:lang w:val="en-US" w:eastAsia="zh-CN"/>
              </w:rPr>
              <w:t>粉材会议室</w:t>
            </w:r>
          </w:p>
        </w:tc>
      </w:tr>
      <w:tr w14:paraId="651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EC00BD">
            <w:pPr>
              <w:spacing w:line="360" w:lineRule="auto"/>
              <w:rPr>
                <w:rFonts w:hint="eastAsia" w:ascii="宋体" w:hAnsi="宋体"/>
                <w:color w:val="000000"/>
                <w:sz w:val="24"/>
              </w:rPr>
            </w:pPr>
            <w:r>
              <w:rPr>
                <w:rFonts w:hint="eastAsia" w:ascii="宋体" w:hAnsi="宋体"/>
                <w:color w:val="000000"/>
                <w:sz w:val="24"/>
              </w:rPr>
              <w:t>上市公司接待人员</w:t>
            </w:r>
          </w:p>
        </w:tc>
        <w:tc>
          <w:tcPr>
            <w:tcW w:w="6316" w:type="dxa"/>
          </w:tcPr>
          <w:p w14:paraId="680B689C">
            <w:pPr>
              <w:spacing w:line="360" w:lineRule="auto"/>
              <w:rPr>
                <w:rFonts w:hint="eastAsia" w:ascii="宋体" w:hAnsi="宋体"/>
                <w:color w:val="000000"/>
                <w:sz w:val="24"/>
              </w:rPr>
            </w:pPr>
            <w:r>
              <w:rPr>
                <w:rFonts w:hint="eastAsia" w:ascii="宋体" w:hAnsi="宋体"/>
                <w:color w:val="000000"/>
                <w:sz w:val="24"/>
              </w:rPr>
              <w:t>董事会秘书、财务总监、总法律顾问：姜珊</w:t>
            </w:r>
          </w:p>
          <w:p w14:paraId="3A5FF1DC">
            <w:pPr>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证券事务代表：王妍</w:t>
            </w:r>
          </w:p>
          <w:p w14:paraId="6F853A3F">
            <w:pPr>
              <w:spacing w:line="360" w:lineRule="auto"/>
              <w:rPr>
                <w:rFonts w:hint="eastAsia" w:ascii="宋体" w:hAnsi="宋体"/>
                <w:color w:val="000000"/>
                <w:sz w:val="24"/>
              </w:rPr>
            </w:pPr>
            <w:r>
              <w:rPr>
                <w:rFonts w:hint="eastAsia" w:ascii="宋体" w:hAnsi="宋体"/>
                <w:color w:val="000000"/>
                <w:sz w:val="24"/>
              </w:rPr>
              <w:t>证券事务专员：瓮佳星</w:t>
            </w:r>
          </w:p>
        </w:tc>
      </w:tr>
      <w:tr w14:paraId="6D4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DA7896">
            <w:pPr>
              <w:spacing w:line="360" w:lineRule="auto"/>
              <w:rPr>
                <w:rFonts w:hint="eastAsia" w:ascii="宋体" w:hAnsi="宋体"/>
                <w:color w:val="000000"/>
                <w:sz w:val="24"/>
              </w:rPr>
            </w:pPr>
            <w:r>
              <w:rPr>
                <w:rFonts w:hint="eastAsia" w:ascii="宋体" w:hAnsi="宋体"/>
                <w:color w:val="000000"/>
                <w:sz w:val="24"/>
              </w:rPr>
              <w:t>投资者关系活动主要内容介绍</w:t>
            </w:r>
          </w:p>
        </w:tc>
        <w:tc>
          <w:tcPr>
            <w:tcW w:w="6316" w:type="dxa"/>
          </w:tcPr>
          <w:p w14:paraId="3B8A7E73">
            <w:pPr>
              <w:rPr>
                <w:rFonts w:hint="eastAsia" w:ascii="宋体" w:hAnsi="宋体"/>
                <w:color w:val="000000"/>
                <w:sz w:val="24"/>
              </w:rPr>
            </w:pPr>
            <w:r>
              <w:rPr>
                <w:rFonts w:hint="eastAsia" w:ascii="宋体" w:hAnsi="宋体"/>
                <w:color w:val="000000"/>
                <w:sz w:val="24"/>
              </w:rPr>
              <w:t>Q1：</w:t>
            </w:r>
            <w:r>
              <w:rPr>
                <w:rFonts w:hint="eastAsia" w:ascii="宋体" w:hAnsi="宋体"/>
                <w:color w:val="000000"/>
                <w:sz w:val="24"/>
                <w:lang w:val="en-US" w:eastAsia="zh-CN"/>
              </w:rPr>
              <w:t>请简要介绍公司的情况</w:t>
            </w:r>
            <w:r>
              <w:rPr>
                <w:rFonts w:hint="eastAsia" w:ascii="宋体" w:hAnsi="宋体"/>
                <w:color w:val="000000"/>
                <w:sz w:val="24"/>
              </w:rPr>
              <w:t>。</w:t>
            </w:r>
          </w:p>
          <w:p w14:paraId="61B72DCE">
            <w:pPr>
              <w:rPr>
                <w:rFonts w:hint="default" w:ascii="宋体" w:hAnsi="宋体"/>
                <w:color w:val="000000"/>
                <w:sz w:val="24"/>
                <w:lang w:val="en-US" w:eastAsia="zh-CN"/>
              </w:rPr>
            </w:pPr>
            <w:r>
              <w:rPr>
                <w:rFonts w:hint="eastAsia" w:ascii="宋体" w:hAnsi="宋体"/>
                <w:color w:val="000000"/>
                <w:sz w:val="24"/>
              </w:rPr>
              <w:t>A1：有研粉材成立于2004年，控股股东中国有研科技集团是国务院国资委所属中央一级企业，有研粉材属于二级中央企业。公司业务分为四个板块。第一个板块是铜基金属粉体材料，目前产销量国内第一、全球第二，主要应用于粉末冶金、金刚石工具、摩擦材料、催化剂、电碳电刷、散热器件等下游领域，该板块的公司有有研合肥、有研重冶和境外的有研泰国、英国Makin公司；第二个板块是微电子锡基焊粉材料，目前在国内市场占有率约15%，国内第一，主要应用于微电子的封装/组装，下游领域主要为消费电子，该板块公司有康普锡威及其山东子公司</w:t>
            </w:r>
            <w:r>
              <w:rPr>
                <w:rFonts w:hint="eastAsia" w:ascii="宋体" w:hAnsi="宋体"/>
                <w:color w:val="000000"/>
                <w:sz w:val="24"/>
                <w:lang w:eastAsia="zh-CN"/>
              </w:rPr>
              <w:t>，</w:t>
            </w:r>
            <w:r>
              <w:rPr>
                <w:rFonts w:hint="eastAsia" w:ascii="宋体" w:hAnsi="宋体"/>
                <w:color w:val="000000"/>
                <w:sz w:val="24"/>
                <w:lang w:val="en-US" w:eastAsia="zh-CN"/>
              </w:rPr>
              <w:t>有研纳微公司的锡膏模块也属于锡粉的下游领域</w:t>
            </w:r>
            <w:r>
              <w:rPr>
                <w:rFonts w:hint="eastAsia" w:ascii="宋体" w:hAnsi="宋体"/>
                <w:color w:val="000000"/>
                <w:sz w:val="24"/>
              </w:rPr>
              <w:t>；第三个板块是电子浆料，与微电子锡基焊粉材料都属于微电子互连材料，是公司重点发展的新板块，公司于2023年成立有研纳微发展该板块，锡膏是主打产品，</w:t>
            </w:r>
            <w:r>
              <w:rPr>
                <w:rFonts w:hint="eastAsia" w:ascii="宋体" w:hAnsi="宋体"/>
                <w:color w:val="000000"/>
                <w:sz w:val="24"/>
                <w:lang w:val="en-US" w:eastAsia="zh-CN"/>
              </w:rPr>
              <w:t>该板块</w:t>
            </w:r>
            <w:r>
              <w:rPr>
                <w:rFonts w:hint="eastAsia" w:ascii="宋体" w:hAnsi="宋体"/>
                <w:color w:val="000000"/>
                <w:sz w:val="24"/>
              </w:rPr>
              <w:t>新产品还处于技术研发阶段，有研纳微主要聚焦国家重大专项任务，承担未来产业的重点技术突破</w:t>
            </w:r>
            <w:r>
              <w:rPr>
                <w:rFonts w:hint="eastAsia" w:ascii="宋体" w:hAnsi="宋体"/>
                <w:color w:val="000000"/>
                <w:sz w:val="24"/>
                <w:lang w:eastAsia="zh-CN"/>
              </w:rPr>
              <w:t>；</w:t>
            </w:r>
            <w:r>
              <w:rPr>
                <w:rFonts w:hint="eastAsia" w:ascii="宋体" w:hAnsi="宋体"/>
                <w:color w:val="000000"/>
                <w:sz w:val="24"/>
              </w:rPr>
              <w:t>第四个板块</w:t>
            </w:r>
            <w:r>
              <w:rPr>
                <w:rFonts w:hint="eastAsia" w:ascii="宋体" w:hAnsi="宋体"/>
                <w:color w:val="000000"/>
                <w:sz w:val="24"/>
                <w:lang w:eastAsia="zh-CN"/>
              </w:rPr>
              <w:t>是</w:t>
            </w:r>
            <w:r>
              <w:rPr>
                <w:rFonts w:hint="eastAsia" w:ascii="宋体" w:hAnsi="宋体"/>
                <w:color w:val="000000"/>
                <w:sz w:val="24"/>
              </w:rPr>
              <w:t>增材制造用粉体材料（3D打印用粉体材料）板块，运营的公司为有研增材</w:t>
            </w:r>
            <w:r>
              <w:rPr>
                <w:rFonts w:hint="eastAsia" w:ascii="宋体" w:hAnsi="宋体"/>
                <w:color w:val="000000"/>
                <w:sz w:val="24"/>
                <w:lang w:val="en-US" w:eastAsia="zh-CN"/>
              </w:rPr>
              <w:t>及其刚成立的山东子公司</w:t>
            </w:r>
            <w:r>
              <w:rPr>
                <w:rFonts w:hint="eastAsia" w:ascii="宋体" w:hAnsi="宋体"/>
                <w:color w:val="000000"/>
                <w:sz w:val="24"/>
              </w:rPr>
              <w:t>，3D打印粉体</w:t>
            </w:r>
            <w:r>
              <w:rPr>
                <w:rFonts w:hint="eastAsia" w:ascii="宋体" w:hAnsi="宋体"/>
                <w:color w:val="000000"/>
                <w:sz w:val="24"/>
                <w:lang w:val="en-US" w:eastAsia="zh-CN"/>
              </w:rPr>
              <w:t>产品</w:t>
            </w:r>
            <w:r>
              <w:rPr>
                <w:rFonts w:hint="eastAsia" w:ascii="宋体" w:hAnsi="宋体"/>
                <w:color w:val="000000"/>
                <w:sz w:val="24"/>
              </w:rPr>
              <w:t>主要</w:t>
            </w:r>
            <w:r>
              <w:rPr>
                <w:rFonts w:hint="eastAsia" w:ascii="宋体" w:hAnsi="宋体"/>
                <w:color w:val="000000"/>
                <w:sz w:val="24"/>
                <w:lang w:val="en-US" w:eastAsia="zh-CN"/>
              </w:rPr>
              <w:t>为生产工艺</w:t>
            </w:r>
            <w:r>
              <w:rPr>
                <w:rFonts w:hint="eastAsia" w:ascii="宋体" w:hAnsi="宋体"/>
                <w:color w:val="000000"/>
                <w:sz w:val="24"/>
              </w:rPr>
              <w:t>比较有特色的铝合金粉、高温合金粉、铜合金粉和不锈钢粉，另外有研增材除了3D打印用粉体材料还生产一些高温特种粉体材料如软磁、MIM粉等。</w:t>
            </w:r>
            <w:r>
              <w:rPr>
                <w:rFonts w:hint="eastAsia" w:ascii="宋体" w:hAnsi="宋体"/>
                <w:color w:val="000000"/>
                <w:sz w:val="24"/>
                <w:lang w:val="en-US" w:eastAsia="zh-CN"/>
              </w:rPr>
              <w:t>公司整体年收入在30亿左右，产品销量约30000余吨，2024年利润总额为6457万元。2025年公司产品销量比去年有所上涨，整体经营情况向好。</w:t>
            </w:r>
          </w:p>
          <w:p w14:paraId="7AF53006">
            <w:pPr>
              <w:rPr>
                <w:rFonts w:ascii="宋体" w:hAnsi="宋体"/>
                <w:color w:val="000000"/>
                <w:sz w:val="24"/>
              </w:rPr>
            </w:pPr>
          </w:p>
          <w:p w14:paraId="1B115A39">
            <w:pPr>
              <w:rPr>
                <w:rFonts w:hint="default" w:ascii="宋体" w:hAnsi="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公司的几种散热铜粉有什么区别？</w:t>
            </w:r>
          </w:p>
          <w:p w14:paraId="7F117592">
            <w:pPr>
              <w:rPr>
                <w:rFonts w:hint="eastAsia" w:ascii="宋体" w:hAnsi="宋体"/>
                <w:color w:val="000000"/>
                <w:sz w:val="24"/>
                <w:lang w:val="en-US" w:eastAsia="zh-CN"/>
              </w:rPr>
            </w:pPr>
            <w:r>
              <w:rPr>
                <w:rFonts w:hint="eastAsia" w:ascii="宋体" w:hAnsi="宋体"/>
                <w:color w:val="000000"/>
                <w:sz w:val="24"/>
                <w:lang w:val="en-US" w:eastAsia="zh-CN"/>
              </w:rPr>
              <w:t>A2：公司目前能够应用在散热场景的铜粉产品共有三类。第一类是新型散热铜粉，这是公司针对高散热需求场景开发的铜粉新产品，可以应用于GPU和NPU上，主要解决的是风冷散热场景，该产品属于行业首次应用，目前已应用于华为昇腾910芯片；第二类是MIM用的铜粉，用于生产针翅状散热基板，应用于IGBT散热器中，已累计对外供应3000余吨；第三类是3D打印铜粉，目前在送验证和推广阶段，还没有大批量供货，主要用于新型液冷散热器和异型导电零部件场景。</w:t>
            </w:r>
          </w:p>
          <w:p w14:paraId="15BCF453">
            <w:pPr>
              <w:rPr>
                <w:rFonts w:hint="eastAsia" w:ascii="宋体" w:hAnsi="宋体"/>
                <w:color w:val="000000"/>
                <w:sz w:val="24"/>
                <w:lang w:val="en-US" w:eastAsia="zh-CN"/>
              </w:rPr>
            </w:pPr>
          </w:p>
          <w:p w14:paraId="65213806">
            <w:pPr>
              <w:rPr>
                <w:rFonts w:hint="eastAsia" w:ascii="宋体" w:hAnsi="宋体"/>
                <w:color w:val="000000"/>
                <w:sz w:val="24"/>
                <w:lang w:val="en-US" w:eastAsia="zh-CN"/>
              </w:rPr>
            </w:pPr>
            <w:r>
              <w:rPr>
                <w:rFonts w:hint="eastAsia" w:ascii="宋体" w:hAnsi="宋体"/>
                <w:color w:val="000000"/>
                <w:sz w:val="24"/>
                <w:lang w:val="en-US" w:eastAsia="zh-CN"/>
              </w:rPr>
              <w:t>Q3：公司铜粉产品的定价模式是怎样的？</w:t>
            </w:r>
          </w:p>
          <w:p w14:paraId="2698BB21">
            <w:pPr>
              <w:rPr>
                <w:rFonts w:hint="eastAsia" w:ascii="宋体" w:hAnsi="宋体"/>
                <w:color w:val="000000"/>
                <w:sz w:val="24"/>
                <w:lang w:val="en-US" w:eastAsia="zh-CN"/>
              </w:rPr>
            </w:pPr>
            <w:r>
              <w:rPr>
                <w:rFonts w:hint="eastAsia" w:ascii="宋体" w:hAnsi="宋体"/>
                <w:color w:val="000000"/>
                <w:sz w:val="24"/>
                <w:lang w:val="en-US" w:eastAsia="zh-CN"/>
              </w:rPr>
              <w:t>A3：公司铜基板块中传统铜粉的定价模式主要为原材料+加工费，散热铜粉的定价模式则是按照产品定价。</w:t>
            </w:r>
          </w:p>
          <w:p w14:paraId="46BA179E">
            <w:pPr>
              <w:rPr>
                <w:rFonts w:hint="default" w:ascii="宋体" w:hAnsi="宋体"/>
                <w:color w:val="000000"/>
                <w:sz w:val="24"/>
                <w:lang w:val="en-US" w:eastAsia="zh-CN"/>
              </w:rPr>
            </w:pPr>
          </w:p>
          <w:p w14:paraId="4C4FACAA">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4</w:t>
            </w:r>
            <w:r>
              <w:rPr>
                <w:rFonts w:hint="eastAsia" w:ascii="宋体" w:hAnsi="宋体"/>
                <w:color w:val="000000"/>
                <w:sz w:val="24"/>
              </w:rPr>
              <w:t>：</w:t>
            </w:r>
            <w:r>
              <w:rPr>
                <w:rFonts w:hint="eastAsia" w:ascii="宋体" w:hAnsi="宋体"/>
                <w:color w:val="000000"/>
                <w:sz w:val="24"/>
                <w:lang w:val="en-US" w:eastAsia="zh-CN"/>
              </w:rPr>
              <w:t>新型散热铜粉的研发起源是怎样的？</w:t>
            </w:r>
          </w:p>
          <w:p w14:paraId="72997813">
            <w:pPr>
              <w:rPr>
                <w:rFonts w:hint="default" w:ascii="宋体" w:hAnsi="宋体" w:eastAsia="宋体" w:cs="Times New Roman"/>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4</w:t>
            </w:r>
            <w:r>
              <w:rPr>
                <w:rFonts w:hint="eastAsia" w:ascii="宋体" w:hAnsi="宋体"/>
                <w:color w:val="000000"/>
                <w:sz w:val="24"/>
              </w:rPr>
              <w:t>：公司新型导热铜粉是公司与某头部终端用户合作开发的产品，经双方合作两年研制成功，在加工方式上实现了突破，具有梯度孔隙结构、比表面积发达、松装密度低等特点，在散热效率方面较传统雾化铜粉，性能提升 10%-20%，热端收益3-5℃，属于行业内首创。</w:t>
            </w:r>
          </w:p>
          <w:p w14:paraId="6F919B2C">
            <w:pPr>
              <w:rPr>
                <w:rFonts w:hint="eastAsia" w:ascii="宋体" w:hAnsi="宋体" w:eastAsia="宋体" w:cs="Times New Roman"/>
                <w:color w:val="000000"/>
                <w:sz w:val="24"/>
                <w:lang w:val="en-US" w:eastAsia="zh-CN"/>
              </w:rPr>
            </w:pPr>
          </w:p>
          <w:p w14:paraId="077A9750">
            <w:pPr>
              <w:rPr>
                <w:rFonts w:hint="default" w:ascii="宋体" w:hAnsi="宋体" w:eastAsia="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5：锡基板块和浆料板块今年发展如何？</w:t>
            </w:r>
          </w:p>
          <w:p w14:paraId="47720E46">
            <w:pPr>
              <w:rPr>
                <w:rFonts w:hint="default" w:ascii="宋体" w:hAnsi="宋体" w:eastAsia="宋体"/>
                <w:color w:val="0000FF"/>
                <w:sz w:val="24"/>
                <w:lang w:val="en-US" w:eastAsia="zh-CN"/>
              </w:rPr>
            </w:pPr>
            <w:r>
              <w:rPr>
                <w:rFonts w:hint="eastAsia" w:ascii="宋体" w:hAnsi="宋体"/>
                <w:color w:val="000000"/>
                <w:sz w:val="24"/>
                <w:lang w:val="en-US" w:eastAsia="zh-CN"/>
              </w:rPr>
              <w:t>A5：北京康普锡威公司主营锡基板块，有研纳微公司主营浆料板块，其中康普锡威生产的锡粉和有研纳微生产的锡膏同属于产业链的上下游，最终产品多用于消费电子、半导体、光伏等领域。随着消费电子市场的逐渐回暖，市场需求上涨，今年锡基板块产品销量和收入均有所增长。</w:t>
            </w:r>
          </w:p>
          <w:p w14:paraId="33C2FD9A">
            <w:pPr>
              <w:rPr>
                <w:rFonts w:hint="default" w:ascii="宋体" w:hAnsi="宋体"/>
                <w:color w:val="000000"/>
                <w:sz w:val="24"/>
                <w:lang w:val="en-US" w:eastAsia="zh-CN"/>
              </w:rPr>
            </w:pPr>
          </w:p>
          <w:p w14:paraId="761849AA">
            <w:pPr>
              <w:rPr>
                <w:rFonts w:hint="default" w:ascii="宋体" w:hAnsi="宋体" w:eastAsia="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6：公司股东有研鼎盛减持是什么原因？</w:t>
            </w:r>
          </w:p>
          <w:p w14:paraId="3FC2978A">
            <w:pPr>
              <w:rPr>
                <w:rFonts w:hint="default" w:ascii="宋体" w:hAnsi="宋体" w:eastAsia="宋体"/>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有研鼎盛与有研粉材同属于中国有研集团的二级子公司，有研鼎盛本身属于集团内的投资平台，在有研粉材公司上市前已经持股了很长时间，近期因流动资金较为紧张，减持股票属于投资公司的正常动作，且减持比例仅为1%。中国有研集团长期以来致力于将有研粉材打造成世界一流的有色金属粉体材料工程和研发基地，对有研粉材的各方面资源投入都颇为支持，预计明年会有新的资源倾斜。</w:t>
            </w:r>
          </w:p>
          <w:p w14:paraId="23BAA444">
            <w:pPr>
              <w:rPr>
                <w:rFonts w:ascii="宋体" w:hAnsi="宋体"/>
                <w:color w:val="000000"/>
                <w:sz w:val="24"/>
              </w:rPr>
            </w:pPr>
          </w:p>
          <w:p w14:paraId="39F254D1">
            <w:pPr>
              <w:rPr>
                <w:rFonts w:hint="eastAsia" w:ascii="宋体" w:hAnsi="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7</w:t>
            </w:r>
            <w:r>
              <w:rPr>
                <w:rFonts w:hint="eastAsia" w:ascii="宋体" w:hAnsi="宋体"/>
                <w:color w:val="000000"/>
                <w:sz w:val="24"/>
              </w:rPr>
              <w:t>：未来公司几个板块的产品是如何规划的？</w:t>
            </w:r>
          </w:p>
          <w:p w14:paraId="4DF5A47F">
            <w:pPr>
              <w:rPr>
                <w:rFonts w:hint="default" w:ascii="宋体" w:hAnsi="宋体" w:eastAsia="宋体"/>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color w:val="000000"/>
                <w:sz w:val="24"/>
                <w:lang w:val="en-US" w:eastAsia="zh-CN"/>
              </w:rPr>
              <w:t>目前公司铜基板块以传统的电解铜粉为主，同时调整产品结构、加强新产品的研发，如散热铜粉、复合铜粉、超细铜粉、低松比铜粉等高附加值产品，提高产品毛利率；锡基板块目前稳中有升，除锡粉外，锡球、锡柱等也在稳定供货，这两大板块在保持高市占率的同时也在持续寻找新的突破口。另外两个新赛道是增材板块和电子浆料板块，增材板块会随着3D打印粉体材料产业基地建设项目的落地实现产能的上涨。电子浆料板块需要根据后续市场的需求情况进行相应调整。公司总体产能规划思路是铜粉和锡粉两个传统板块保持稳中有升，增材和浆料板块根据市场情况努力做到快速上量。</w:t>
            </w:r>
          </w:p>
          <w:p w14:paraId="3C016E3E">
            <w:pPr>
              <w:rPr>
                <w:rFonts w:hint="eastAsia" w:ascii="宋体" w:hAnsi="宋体"/>
                <w:color w:val="000000"/>
                <w:sz w:val="24"/>
                <w:lang w:val="en-US" w:eastAsia="zh-CN"/>
              </w:rPr>
            </w:pPr>
          </w:p>
          <w:p w14:paraId="344FCDD0">
            <w:pPr>
              <w:rPr>
                <w:rFonts w:hint="eastAsia" w:ascii="宋体" w:hAnsi="宋体"/>
                <w:color w:val="000000"/>
                <w:sz w:val="24"/>
                <w:lang w:val="en-US" w:eastAsia="zh-CN"/>
              </w:rPr>
            </w:pPr>
            <w:r>
              <w:rPr>
                <w:rFonts w:hint="eastAsia" w:ascii="宋体" w:hAnsi="宋体"/>
                <w:color w:val="000000"/>
                <w:sz w:val="24"/>
                <w:lang w:val="en-US" w:eastAsia="zh-CN"/>
              </w:rPr>
              <w:t>Q8：在推广产品时公司会直接和终端客户有联系吗？</w:t>
            </w:r>
          </w:p>
          <w:p w14:paraId="4683A91A">
            <w:pPr>
              <w:rPr>
                <w:rFonts w:hint="default" w:ascii="宋体" w:hAnsi="宋体"/>
                <w:color w:val="000000"/>
                <w:sz w:val="24"/>
                <w:lang w:val="en-US" w:eastAsia="zh-CN"/>
              </w:rPr>
            </w:pPr>
            <w:r>
              <w:rPr>
                <w:rFonts w:hint="eastAsia" w:ascii="宋体" w:hAnsi="宋体"/>
                <w:color w:val="000000"/>
                <w:sz w:val="24"/>
                <w:lang w:val="en-US" w:eastAsia="zh-CN"/>
              </w:rPr>
              <w:t>A8:公司行业细分为材料领域，处于产业链的上游，一般不会直接联系终端用户，如果终端客户有定制化需求，</w:t>
            </w:r>
            <w:r>
              <w:rPr>
                <w:rFonts w:hint="default" w:ascii="宋体" w:hAnsi="宋体"/>
                <w:color w:val="000000"/>
                <w:sz w:val="24"/>
                <w:lang w:val="en-US" w:eastAsia="zh-CN"/>
              </w:rPr>
              <w:t>可能</w:t>
            </w:r>
            <w:r>
              <w:rPr>
                <w:rFonts w:hint="eastAsia" w:ascii="宋体" w:hAnsi="宋体"/>
                <w:color w:val="000000"/>
                <w:sz w:val="24"/>
                <w:lang w:val="en-US" w:eastAsia="zh-CN"/>
              </w:rPr>
              <w:t>会共同研发部分产品。</w:t>
            </w:r>
          </w:p>
          <w:p w14:paraId="05E3A3E9">
            <w:pPr>
              <w:rPr>
                <w:rFonts w:hint="default" w:ascii="宋体" w:hAnsi="宋体"/>
                <w:color w:val="000000"/>
                <w:sz w:val="24"/>
                <w:lang w:val="en-US" w:eastAsia="zh-CN"/>
              </w:rPr>
            </w:pPr>
          </w:p>
        </w:tc>
      </w:tr>
      <w:tr w14:paraId="52C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980" w:type="dxa"/>
          </w:tcPr>
          <w:p w14:paraId="392AD79F">
            <w:pPr>
              <w:spacing w:line="360" w:lineRule="auto"/>
              <w:rPr>
                <w:rFonts w:hint="eastAsia" w:ascii="宋体" w:hAnsi="宋体"/>
                <w:color w:val="000000"/>
                <w:sz w:val="24"/>
              </w:rPr>
            </w:pPr>
            <w:r>
              <w:rPr>
                <w:rFonts w:hint="eastAsia" w:ascii="宋体" w:hAnsi="宋体"/>
                <w:color w:val="000000"/>
                <w:sz w:val="24"/>
              </w:rPr>
              <w:t>关于本次活动是否涉及应当披露重大信息的说明</w:t>
            </w:r>
          </w:p>
        </w:tc>
        <w:tc>
          <w:tcPr>
            <w:tcW w:w="6316" w:type="dxa"/>
          </w:tcPr>
          <w:p w14:paraId="3B9EB652">
            <w:pPr>
              <w:spacing w:line="360" w:lineRule="auto"/>
              <w:rPr>
                <w:rFonts w:hint="eastAsia" w:ascii="宋体" w:hAnsi="宋体"/>
                <w:color w:val="000000"/>
                <w:sz w:val="24"/>
              </w:rPr>
            </w:pPr>
            <w:r>
              <w:rPr>
                <w:rFonts w:hint="eastAsia" w:ascii="宋体" w:hAnsi="宋体"/>
                <w:color w:val="000000"/>
                <w:sz w:val="24"/>
              </w:rPr>
              <w:t>不涉及</w:t>
            </w:r>
          </w:p>
        </w:tc>
      </w:tr>
      <w:tr w14:paraId="2E9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162D277">
            <w:pPr>
              <w:spacing w:line="360" w:lineRule="auto"/>
              <w:rPr>
                <w:rFonts w:hint="eastAsia" w:ascii="宋体" w:hAnsi="宋体"/>
                <w:color w:val="000000"/>
                <w:sz w:val="24"/>
              </w:rPr>
            </w:pPr>
            <w:r>
              <w:rPr>
                <w:rFonts w:hint="eastAsia" w:ascii="宋体" w:hAnsi="宋体"/>
                <w:color w:val="000000"/>
                <w:sz w:val="24"/>
              </w:rPr>
              <w:t>附件清单（如有）</w:t>
            </w:r>
          </w:p>
        </w:tc>
        <w:tc>
          <w:tcPr>
            <w:tcW w:w="6316" w:type="dxa"/>
          </w:tcPr>
          <w:p w14:paraId="77310521">
            <w:pPr>
              <w:spacing w:line="360" w:lineRule="auto"/>
              <w:rPr>
                <w:rFonts w:hint="eastAsia" w:ascii="宋体" w:hAnsi="宋体"/>
                <w:color w:val="000000"/>
                <w:sz w:val="24"/>
              </w:rPr>
            </w:pPr>
          </w:p>
        </w:tc>
      </w:tr>
      <w:tr w14:paraId="1833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E0FE7B">
            <w:pPr>
              <w:spacing w:line="360" w:lineRule="auto"/>
              <w:rPr>
                <w:rFonts w:hint="eastAsia" w:ascii="宋体" w:hAnsi="宋体"/>
                <w:color w:val="000000"/>
                <w:sz w:val="24"/>
              </w:rPr>
            </w:pPr>
            <w:r>
              <w:rPr>
                <w:rFonts w:hint="eastAsia" w:ascii="宋体" w:hAnsi="宋体"/>
                <w:color w:val="000000"/>
                <w:sz w:val="24"/>
              </w:rPr>
              <w:t>日期</w:t>
            </w:r>
          </w:p>
        </w:tc>
        <w:tc>
          <w:tcPr>
            <w:tcW w:w="6316" w:type="dxa"/>
          </w:tcPr>
          <w:p w14:paraId="218F7978">
            <w:pPr>
              <w:spacing w:line="360" w:lineRule="auto"/>
              <w:rPr>
                <w:rFonts w:hint="eastAsia" w:ascii="宋体" w:hAnsi="宋体"/>
                <w:color w:val="000000"/>
                <w:sz w:val="24"/>
              </w:rPr>
            </w:pPr>
            <w:r>
              <w:rPr>
                <w:rFonts w:hint="eastAsia" w:ascii="宋体" w:hAnsi="宋体"/>
                <w:color w:val="000000"/>
                <w:sz w:val="24"/>
              </w:rPr>
              <w:t>2</w:t>
            </w:r>
            <w:r>
              <w:rPr>
                <w:rFonts w:ascii="宋体" w:hAnsi="宋体"/>
                <w:color w:val="000000"/>
                <w:sz w:val="24"/>
              </w:rPr>
              <w:t>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10</w:t>
            </w:r>
            <w:r>
              <w:rPr>
                <w:rFonts w:ascii="宋体" w:hAnsi="宋体"/>
                <w:color w:val="000000"/>
                <w:sz w:val="24"/>
              </w:rPr>
              <w:t>月</w:t>
            </w:r>
            <w:r>
              <w:rPr>
                <w:rFonts w:hint="eastAsia" w:ascii="宋体" w:hAnsi="宋体"/>
                <w:color w:val="000000"/>
                <w:sz w:val="24"/>
                <w:lang w:val="en-US" w:eastAsia="zh-CN"/>
              </w:rPr>
              <w:t>24</w:t>
            </w:r>
            <w:r>
              <w:rPr>
                <w:rFonts w:ascii="宋体" w:hAnsi="宋体"/>
                <w:color w:val="000000"/>
                <w:sz w:val="24"/>
              </w:rPr>
              <w:t>日</w:t>
            </w:r>
          </w:p>
        </w:tc>
      </w:tr>
    </w:tbl>
    <w:p w14:paraId="147426D0">
      <w:pPr>
        <w:spacing w:line="360" w:lineRule="auto"/>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35DEC"/>
    <w:rsid w:val="00050A74"/>
    <w:rsid w:val="000732EA"/>
    <w:rsid w:val="00073E51"/>
    <w:rsid w:val="00093E16"/>
    <w:rsid w:val="000A73BB"/>
    <w:rsid w:val="000A775A"/>
    <w:rsid w:val="000B3ABC"/>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847C2"/>
    <w:rsid w:val="00190AB6"/>
    <w:rsid w:val="001A19CE"/>
    <w:rsid w:val="001A227D"/>
    <w:rsid w:val="001A22E5"/>
    <w:rsid w:val="001A4B8A"/>
    <w:rsid w:val="001A6013"/>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445D"/>
    <w:rsid w:val="00245195"/>
    <w:rsid w:val="00251449"/>
    <w:rsid w:val="00254ABB"/>
    <w:rsid w:val="00254B28"/>
    <w:rsid w:val="00263F6C"/>
    <w:rsid w:val="002866D4"/>
    <w:rsid w:val="00290D81"/>
    <w:rsid w:val="00292189"/>
    <w:rsid w:val="002A5C75"/>
    <w:rsid w:val="002A6BD2"/>
    <w:rsid w:val="002A73DB"/>
    <w:rsid w:val="002B11C8"/>
    <w:rsid w:val="002B2022"/>
    <w:rsid w:val="002C2241"/>
    <w:rsid w:val="002C55FE"/>
    <w:rsid w:val="002D5D7D"/>
    <w:rsid w:val="002E11E9"/>
    <w:rsid w:val="002E2C78"/>
    <w:rsid w:val="002E67CD"/>
    <w:rsid w:val="002F13FB"/>
    <w:rsid w:val="002F1FA3"/>
    <w:rsid w:val="002F2236"/>
    <w:rsid w:val="00306403"/>
    <w:rsid w:val="00307FB1"/>
    <w:rsid w:val="003142DC"/>
    <w:rsid w:val="003171F4"/>
    <w:rsid w:val="003207BB"/>
    <w:rsid w:val="003246B4"/>
    <w:rsid w:val="003348E9"/>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55449"/>
    <w:rsid w:val="004673E7"/>
    <w:rsid w:val="004766EF"/>
    <w:rsid w:val="004864D6"/>
    <w:rsid w:val="004877F7"/>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03E"/>
    <w:rsid w:val="006505E4"/>
    <w:rsid w:val="00651F18"/>
    <w:rsid w:val="00654FBA"/>
    <w:rsid w:val="00657CA5"/>
    <w:rsid w:val="00660088"/>
    <w:rsid w:val="00666D72"/>
    <w:rsid w:val="006868A2"/>
    <w:rsid w:val="00690643"/>
    <w:rsid w:val="006A6084"/>
    <w:rsid w:val="006B54B7"/>
    <w:rsid w:val="006B60E9"/>
    <w:rsid w:val="006B6D1F"/>
    <w:rsid w:val="006C277A"/>
    <w:rsid w:val="006E308D"/>
    <w:rsid w:val="006E5747"/>
    <w:rsid w:val="006E5EAF"/>
    <w:rsid w:val="007002FA"/>
    <w:rsid w:val="007156F6"/>
    <w:rsid w:val="007267B8"/>
    <w:rsid w:val="00726F5C"/>
    <w:rsid w:val="00732483"/>
    <w:rsid w:val="007342B6"/>
    <w:rsid w:val="0074188E"/>
    <w:rsid w:val="0075130E"/>
    <w:rsid w:val="00764D32"/>
    <w:rsid w:val="0076764E"/>
    <w:rsid w:val="0077144B"/>
    <w:rsid w:val="00771B1B"/>
    <w:rsid w:val="007850F7"/>
    <w:rsid w:val="007A16DD"/>
    <w:rsid w:val="007B14B2"/>
    <w:rsid w:val="007B3297"/>
    <w:rsid w:val="007B5657"/>
    <w:rsid w:val="007C1304"/>
    <w:rsid w:val="007C4BD6"/>
    <w:rsid w:val="007D0EB5"/>
    <w:rsid w:val="007D1E01"/>
    <w:rsid w:val="007D7469"/>
    <w:rsid w:val="007D79EF"/>
    <w:rsid w:val="007E0550"/>
    <w:rsid w:val="007E65A9"/>
    <w:rsid w:val="007F1A7D"/>
    <w:rsid w:val="007F38CC"/>
    <w:rsid w:val="007F4B6C"/>
    <w:rsid w:val="008019D1"/>
    <w:rsid w:val="00821EBB"/>
    <w:rsid w:val="0085123E"/>
    <w:rsid w:val="00854C3D"/>
    <w:rsid w:val="00872687"/>
    <w:rsid w:val="00876BA6"/>
    <w:rsid w:val="00880148"/>
    <w:rsid w:val="00880FE1"/>
    <w:rsid w:val="008822F8"/>
    <w:rsid w:val="00891B2E"/>
    <w:rsid w:val="0089328C"/>
    <w:rsid w:val="008A29E8"/>
    <w:rsid w:val="008B7359"/>
    <w:rsid w:val="008C1928"/>
    <w:rsid w:val="008C342A"/>
    <w:rsid w:val="008C3926"/>
    <w:rsid w:val="008D2646"/>
    <w:rsid w:val="008D43AB"/>
    <w:rsid w:val="008D6B0E"/>
    <w:rsid w:val="008E1C51"/>
    <w:rsid w:val="008F1A57"/>
    <w:rsid w:val="00904A16"/>
    <w:rsid w:val="00910D9B"/>
    <w:rsid w:val="0092310E"/>
    <w:rsid w:val="009267C5"/>
    <w:rsid w:val="009300DA"/>
    <w:rsid w:val="0093413B"/>
    <w:rsid w:val="00936851"/>
    <w:rsid w:val="009409DF"/>
    <w:rsid w:val="009529E1"/>
    <w:rsid w:val="009618F6"/>
    <w:rsid w:val="00966A1A"/>
    <w:rsid w:val="00972DE1"/>
    <w:rsid w:val="00977BAC"/>
    <w:rsid w:val="00996C34"/>
    <w:rsid w:val="009A3880"/>
    <w:rsid w:val="009B3291"/>
    <w:rsid w:val="009C63DC"/>
    <w:rsid w:val="009C768C"/>
    <w:rsid w:val="009D2573"/>
    <w:rsid w:val="009D2E13"/>
    <w:rsid w:val="009D581C"/>
    <w:rsid w:val="009F37EC"/>
    <w:rsid w:val="009F5B8D"/>
    <w:rsid w:val="00A15000"/>
    <w:rsid w:val="00A24206"/>
    <w:rsid w:val="00A32443"/>
    <w:rsid w:val="00A36EAF"/>
    <w:rsid w:val="00A769C1"/>
    <w:rsid w:val="00AB313F"/>
    <w:rsid w:val="00AF0359"/>
    <w:rsid w:val="00B15476"/>
    <w:rsid w:val="00B15C6B"/>
    <w:rsid w:val="00B2305C"/>
    <w:rsid w:val="00B26D99"/>
    <w:rsid w:val="00B4148E"/>
    <w:rsid w:val="00B57D53"/>
    <w:rsid w:val="00B65623"/>
    <w:rsid w:val="00B805CE"/>
    <w:rsid w:val="00B819E4"/>
    <w:rsid w:val="00B91B2E"/>
    <w:rsid w:val="00B94699"/>
    <w:rsid w:val="00BA0513"/>
    <w:rsid w:val="00BA199E"/>
    <w:rsid w:val="00BA446D"/>
    <w:rsid w:val="00BA5BE9"/>
    <w:rsid w:val="00BD3F22"/>
    <w:rsid w:val="00BD5DDD"/>
    <w:rsid w:val="00BD647D"/>
    <w:rsid w:val="00BD7C75"/>
    <w:rsid w:val="00BE0E2F"/>
    <w:rsid w:val="00BF204E"/>
    <w:rsid w:val="00BF2687"/>
    <w:rsid w:val="00C022A4"/>
    <w:rsid w:val="00C043B0"/>
    <w:rsid w:val="00C0478F"/>
    <w:rsid w:val="00C115F2"/>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2CF1"/>
    <w:rsid w:val="00D14C41"/>
    <w:rsid w:val="00D1623E"/>
    <w:rsid w:val="00D20F97"/>
    <w:rsid w:val="00D21DE9"/>
    <w:rsid w:val="00D24CA9"/>
    <w:rsid w:val="00D51602"/>
    <w:rsid w:val="00D62D90"/>
    <w:rsid w:val="00D63F05"/>
    <w:rsid w:val="00D65CD2"/>
    <w:rsid w:val="00D664BE"/>
    <w:rsid w:val="00D6678C"/>
    <w:rsid w:val="00D67ABA"/>
    <w:rsid w:val="00D74693"/>
    <w:rsid w:val="00D8155B"/>
    <w:rsid w:val="00DA0ADF"/>
    <w:rsid w:val="00DA776B"/>
    <w:rsid w:val="00DB1007"/>
    <w:rsid w:val="00DB25CD"/>
    <w:rsid w:val="00DC747B"/>
    <w:rsid w:val="00DD4209"/>
    <w:rsid w:val="00E00E1C"/>
    <w:rsid w:val="00E026DF"/>
    <w:rsid w:val="00E105FE"/>
    <w:rsid w:val="00E40E38"/>
    <w:rsid w:val="00E51C20"/>
    <w:rsid w:val="00E6072F"/>
    <w:rsid w:val="00E63814"/>
    <w:rsid w:val="00E63B0F"/>
    <w:rsid w:val="00E65053"/>
    <w:rsid w:val="00E71DE8"/>
    <w:rsid w:val="00E73E13"/>
    <w:rsid w:val="00E95541"/>
    <w:rsid w:val="00EB1E77"/>
    <w:rsid w:val="00EC1E97"/>
    <w:rsid w:val="00EC6218"/>
    <w:rsid w:val="00EC6F90"/>
    <w:rsid w:val="00ED1296"/>
    <w:rsid w:val="00ED5A40"/>
    <w:rsid w:val="00ED7D1C"/>
    <w:rsid w:val="00EF640A"/>
    <w:rsid w:val="00F00D70"/>
    <w:rsid w:val="00F131BC"/>
    <w:rsid w:val="00F1426B"/>
    <w:rsid w:val="00F21FC1"/>
    <w:rsid w:val="00F35DD3"/>
    <w:rsid w:val="00F42F9F"/>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1934780"/>
    <w:rsid w:val="0224362A"/>
    <w:rsid w:val="04463D2B"/>
    <w:rsid w:val="053E339B"/>
    <w:rsid w:val="061E24D9"/>
    <w:rsid w:val="062E1763"/>
    <w:rsid w:val="063D2F0C"/>
    <w:rsid w:val="06742A00"/>
    <w:rsid w:val="07BF5211"/>
    <w:rsid w:val="07F55325"/>
    <w:rsid w:val="090A544D"/>
    <w:rsid w:val="0992329A"/>
    <w:rsid w:val="09F9539C"/>
    <w:rsid w:val="0A7113D6"/>
    <w:rsid w:val="0B290477"/>
    <w:rsid w:val="0CB101B0"/>
    <w:rsid w:val="0CD16ED3"/>
    <w:rsid w:val="0E9D4E90"/>
    <w:rsid w:val="0F114F36"/>
    <w:rsid w:val="0F246F33"/>
    <w:rsid w:val="0F4955D4"/>
    <w:rsid w:val="0F8907BA"/>
    <w:rsid w:val="11074842"/>
    <w:rsid w:val="113370D6"/>
    <w:rsid w:val="13FD2DA9"/>
    <w:rsid w:val="15D522AB"/>
    <w:rsid w:val="161D2412"/>
    <w:rsid w:val="162D1764"/>
    <w:rsid w:val="17B9260F"/>
    <w:rsid w:val="18422604"/>
    <w:rsid w:val="18B36856"/>
    <w:rsid w:val="18FF4051"/>
    <w:rsid w:val="190653E0"/>
    <w:rsid w:val="1A9F5E5B"/>
    <w:rsid w:val="1AAB623F"/>
    <w:rsid w:val="1BDE2644"/>
    <w:rsid w:val="1C2B0654"/>
    <w:rsid w:val="1EA73965"/>
    <w:rsid w:val="1EF71986"/>
    <w:rsid w:val="1F0D30A9"/>
    <w:rsid w:val="1F58270D"/>
    <w:rsid w:val="20476A09"/>
    <w:rsid w:val="21C213C1"/>
    <w:rsid w:val="223E3E3C"/>
    <w:rsid w:val="225101E3"/>
    <w:rsid w:val="240C7710"/>
    <w:rsid w:val="2412563B"/>
    <w:rsid w:val="2419690F"/>
    <w:rsid w:val="241B05EA"/>
    <w:rsid w:val="241F43BD"/>
    <w:rsid w:val="242F7A3A"/>
    <w:rsid w:val="243F3E9B"/>
    <w:rsid w:val="2580476C"/>
    <w:rsid w:val="25FF7D86"/>
    <w:rsid w:val="2605754A"/>
    <w:rsid w:val="266F6CBA"/>
    <w:rsid w:val="27D42F40"/>
    <w:rsid w:val="27D668C5"/>
    <w:rsid w:val="28ED0A30"/>
    <w:rsid w:val="29726241"/>
    <w:rsid w:val="2A7B31CC"/>
    <w:rsid w:val="2C195D1A"/>
    <w:rsid w:val="2CEE3FB5"/>
    <w:rsid w:val="2D2931FB"/>
    <w:rsid w:val="2DC93EED"/>
    <w:rsid w:val="2E045F3A"/>
    <w:rsid w:val="2E8F44EC"/>
    <w:rsid w:val="2EDF36C4"/>
    <w:rsid w:val="2FFA0EC4"/>
    <w:rsid w:val="308415B4"/>
    <w:rsid w:val="321B7CF6"/>
    <w:rsid w:val="3286449C"/>
    <w:rsid w:val="329B0DBC"/>
    <w:rsid w:val="32C360F0"/>
    <w:rsid w:val="32EF797A"/>
    <w:rsid w:val="33062754"/>
    <w:rsid w:val="3324700C"/>
    <w:rsid w:val="3331242B"/>
    <w:rsid w:val="338835AA"/>
    <w:rsid w:val="3394470E"/>
    <w:rsid w:val="33DA46B1"/>
    <w:rsid w:val="34605931"/>
    <w:rsid w:val="35B94F56"/>
    <w:rsid w:val="35FA5E74"/>
    <w:rsid w:val="36B349A1"/>
    <w:rsid w:val="36E0506A"/>
    <w:rsid w:val="38C22AC9"/>
    <w:rsid w:val="393D43C2"/>
    <w:rsid w:val="3B746B91"/>
    <w:rsid w:val="3BA06243"/>
    <w:rsid w:val="3E70226D"/>
    <w:rsid w:val="3F5B5BD6"/>
    <w:rsid w:val="3FE0432D"/>
    <w:rsid w:val="3FF658FE"/>
    <w:rsid w:val="400C6ED0"/>
    <w:rsid w:val="40456A55"/>
    <w:rsid w:val="40994E10"/>
    <w:rsid w:val="41727207"/>
    <w:rsid w:val="41764F49"/>
    <w:rsid w:val="41916894"/>
    <w:rsid w:val="435A2C3D"/>
    <w:rsid w:val="446472DA"/>
    <w:rsid w:val="46170F29"/>
    <w:rsid w:val="46827EEC"/>
    <w:rsid w:val="478775C0"/>
    <w:rsid w:val="49AD5280"/>
    <w:rsid w:val="49F76E32"/>
    <w:rsid w:val="4A0F1D6B"/>
    <w:rsid w:val="4A4E6A63"/>
    <w:rsid w:val="4A856A65"/>
    <w:rsid w:val="4AC705C3"/>
    <w:rsid w:val="4B0464CC"/>
    <w:rsid w:val="4B3D2633"/>
    <w:rsid w:val="4E574BEA"/>
    <w:rsid w:val="4E8E6AAF"/>
    <w:rsid w:val="4EB728FC"/>
    <w:rsid w:val="4EB91056"/>
    <w:rsid w:val="4ECE3A54"/>
    <w:rsid w:val="4F1B6763"/>
    <w:rsid w:val="5051105B"/>
    <w:rsid w:val="50D36C2F"/>
    <w:rsid w:val="51322546"/>
    <w:rsid w:val="51EF21A4"/>
    <w:rsid w:val="52BB0A0D"/>
    <w:rsid w:val="53AC050C"/>
    <w:rsid w:val="53D2048A"/>
    <w:rsid w:val="546B2D1E"/>
    <w:rsid w:val="548E5CAE"/>
    <w:rsid w:val="55AB01E6"/>
    <w:rsid w:val="5754417E"/>
    <w:rsid w:val="58694579"/>
    <w:rsid w:val="58946F9D"/>
    <w:rsid w:val="58CE0D6F"/>
    <w:rsid w:val="58E36AAE"/>
    <w:rsid w:val="59EC06C3"/>
    <w:rsid w:val="5A366BCB"/>
    <w:rsid w:val="5A4B316B"/>
    <w:rsid w:val="5C44135B"/>
    <w:rsid w:val="5D1F603D"/>
    <w:rsid w:val="5DD012E0"/>
    <w:rsid w:val="5E3544D1"/>
    <w:rsid w:val="5E7F7645"/>
    <w:rsid w:val="601E438A"/>
    <w:rsid w:val="605519C0"/>
    <w:rsid w:val="60791F08"/>
    <w:rsid w:val="60BE084B"/>
    <w:rsid w:val="619A2136"/>
    <w:rsid w:val="624E654F"/>
    <w:rsid w:val="63AA7892"/>
    <w:rsid w:val="63AC0AF2"/>
    <w:rsid w:val="64EF4547"/>
    <w:rsid w:val="66154481"/>
    <w:rsid w:val="66581462"/>
    <w:rsid w:val="667A42E4"/>
    <w:rsid w:val="66B6356E"/>
    <w:rsid w:val="66EA20D6"/>
    <w:rsid w:val="677E1BB2"/>
    <w:rsid w:val="681C712A"/>
    <w:rsid w:val="691509F6"/>
    <w:rsid w:val="693966D8"/>
    <w:rsid w:val="69D106BF"/>
    <w:rsid w:val="6A303637"/>
    <w:rsid w:val="6B9728A9"/>
    <w:rsid w:val="6C3A254B"/>
    <w:rsid w:val="6CF21709"/>
    <w:rsid w:val="6D4D2752"/>
    <w:rsid w:val="6D8C1277"/>
    <w:rsid w:val="6DC02F24"/>
    <w:rsid w:val="6DE704B1"/>
    <w:rsid w:val="6E075A7F"/>
    <w:rsid w:val="6E562686"/>
    <w:rsid w:val="6E8C763E"/>
    <w:rsid w:val="6F0357BE"/>
    <w:rsid w:val="709366CE"/>
    <w:rsid w:val="71D21478"/>
    <w:rsid w:val="73935A4C"/>
    <w:rsid w:val="73A6496A"/>
    <w:rsid w:val="73BE1CB4"/>
    <w:rsid w:val="75023EB7"/>
    <w:rsid w:val="753164B5"/>
    <w:rsid w:val="759F5B15"/>
    <w:rsid w:val="787141D2"/>
    <w:rsid w:val="787F73A0"/>
    <w:rsid w:val="79CF5B07"/>
    <w:rsid w:val="7A6358B6"/>
    <w:rsid w:val="7B51165F"/>
    <w:rsid w:val="7D080702"/>
    <w:rsid w:val="7D4A2C1A"/>
    <w:rsid w:val="7DA848CA"/>
    <w:rsid w:val="7DEA16FF"/>
    <w:rsid w:val="7DFB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alloon Text"/>
    <w:basedOn w:val="1"/>
    <w:link w:val="21"/>
    <w:autoRedefine/>
    <w:semiHidden/>
    <w:unhideWhenUsed/>
    <w:qFormat/>
    <w:uiPriority w:val="99"/>
    <w:rPr>
      <w:sz w:val="18"/>
      <w:szCs w:val="18"/>
    </w:rPr>
  </w:style>
  <w:style w:type="paragraph" w:styleId="4">
    <w:name w:val="footer"/>
    <w:basedOn w:val="1"/>
    <w:link w:val="17"/>
    <w:autoRedefine/>
    <w:unhideWhenUsed/>
    <w:qFormat/>
    <w:uiPriority w:val="99"/>
    <w:pPr>
      <w:tabs>
        <w:tab w:val="center" w:pos="4153"/>
        <w:tab w:val="right" w:pos="8306"/>
      </w:tabs>
      <w:snapToGrid w:val="0"/>
      <w:jc w:val="left"/>
    </w:pPr>
    <w:rPr>
      <w:sz w:val="18"/>
      <w:szCs w:val="18"/>
    </w:rPr>
  </w:style>
  <w:style w:type="paragraph" w:styleId="5">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3"/>
    <w:autoRedefine/>
    <w:qFormat/>
    <w:uiPriority w:val="0"/>
    <w:pPr>
      <w:spacing w:before="240" w:after="60"/>
      <w:jc w:val="center"/>
      <w:outlineLvl w:val="0"/>
    </w:pPr>
    <w:rPr>
      <w:rFonts w:ascii="Cambria" w:hAnsi="Cambria"/>
      <w:b/>
      <w:bCs/>
      <w:sz w:val="32"/>
      <w:szCs w:val="32"/>
    </w:rPr>
  </w:style>
  <w:style w:type="paragraph" w:styleId="8">
    <w:name w:val="annotation subject"/>
    <w:basedOn w:val="2"/>
    <w:next w:val="2"/>
    <w:link w:val="20"/>
    <w:autoRedefine/>
    <w:semiHidden/>
    <w:unhideWhenUsed/>
    <w:qFormat/>
    <w:uiPriority w:val="99"/>
    <w:rPr>
      <w:b/>
      <w:bCs/>
    </w:rPr>
  </w:style>
  <w:style w:type="table" w:styleId="10">
    <w:name w:val="Table Grid"/>
    <w:basedOn w:val="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标题 字符"/>
    <w:basedOn w:val="11"/>
    <w:link w:val="7"/>
    <w:autoRedefine/>
    <w:qFormat/>
    <w:uiPriority w:val="0"/>
    <w:rPr>
      <w:rFonts w:ascii="Cambria" w:hAnsi="Cambria" w:eastAsia="宋体" w:cs="Times New Roman"/>
      <w:b/>
      <w:bCs/>
      <w:sz w:val="32"/>
      <w:szCs w:val="32"/>
    </w:rPr>
  </w:style>
  <w:style w:type="character" w:customStyle="1" w:styleId="14">
    <w:name w:val="15"/>
    <w:basedOn w:val="11"/>
    <w:autoRedefine/>
    <w:qFormat/>
    <w:uiPriority w:val="0"/>
    <w:rPr>
      <w:rFonts w:hint="default" w:ascii="Times New Roman" w:hAnsi="Times New Roman" w:cs="Times New Roman"/>
      <w:kern w:val="2"/>
      <w:sz w:val="21"/>
      <w:szCs w:val="21"/>
    </w:rPr>
  </w:style>
  <w:style w:type="character" w:customStyle="1" w:styleId="15">
    <w:name w:val="16"/>
    <w:basedOn w:val="11"/>
    <w:autoRedefine/>
    <w:qFormat/>
    <w:uiPriority w:val="0"/>
    <w:rPr>
      <w:rFonts w:hint="default" w:ascii="Calibri" w:hAnsi="Calibri"/>
      <w:color w:val="0000FF"/>
      <w:u w:val="single"/>
    </w:rPr>
  </w:style>
  <w:style w:type="character" w:customStyle="1" w:styleId="16">
    <w:name w:val="页眉 字符"/>
    <w:basedOn w:val="11"/>
    <w:link w:val="5"/>
    <w:autoRedefine/>
    <w:qFormat/>
    <w:uiPriority w:val="99"/>
    <w:rPr>
      <w:rFonts w:ascii="Times New Roman" w:hAnsi="Times New Roman" w:eastAsia="宋体" w:cs="Times New Roman"/>
      <w:sz w:val="18"/>
      <w:szCs w:val="18"/>
    </w:rPr>
  </w:style>
  <w:style w:type="character" w:customStyle="1" w:styleId="17">
    <w:name w:val="页脚 字符"/>
    <w:basedOn w:val="11"/>
    <w:link w:val="4"/>
    <w:autoRedefine/>
    <w:qFormat/>
    <w:uiPriority w:val="99"/>
    <w:rPr>
      <w:rFonts w:ascii="Times New Roman" w:hAnsi="Times New Roman" w:eastAsia="宋体" w:cs="Times New Roman"/>
      <w:sz w:val="18"/>
      <w:szCs w:val="18"/>
    </w:rPr>
  </w:style>
  <w:style w:type="paragraph" w:customStyle="1" w:styleId="1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1"/>
    <w:link w:val="2"/>
    <w:autoRedefine/>
    <w:semiHidden/>
    <w:qFormat/>
    <w:uiPriority w:val="99"/>
    <w:rPr>
      <w:rFonts w:ascii="Times New Roman" w:hAnsi="Times New Roman" w:eastAsia="宋体" w:cs="Times New Roman"/>
      <w:kern w:val="2"/>
      <w:sz w:val="21"/>
      <w:szCs w:val="24"/>
    </w:rPr>
  </w:style>
  <w:style w:type="character" w:customStyle="1" w:styleId="20">
    <w:name w:val="批注主题 字符"/>
    <w:basedOn w:val="19"/>
    <w:link w:val="8"/>
    <w:autoRedefine/>
    <w:semiHidden/>
    <w:qFormat/>
    <w:uiPriority w:val="99"/>
    <w:rPr>
      <w:rFonts w:ascii="Times New Roman" w:hAnsi="Times New Roman" w:eastAsia="宋体" w:cs="Times New Roman"/>
      <w:b/>
      <w:bCs/>
      <w:kern w:val="2"/>
      <w:sz w:val="21"/>
      <w:szCs w:val="24"/>
    </w:rPr>
  </w:style>
  <w:style w:type="character" w:customStyle="1" w:styleId="21">
    <w:name w:val="批注框文本 字符"/>
    <w:basedOn w:val="11"/>
    <w:link w:val="3"/>
    <w:autoRedefine/>
    <w:semiHidden/>
    <w:qFormat/>
    <w:uiPriority w:val="99"/>
    <w:rPr>
      <w:rFonts w:ascii="Times New Roman" w:hAnsi="Times New Roman" w:eastAsia="宋体" w:cs="Times New Roman"/>
      <w:kern w:val="2"/>
      <w:sz w:val="18"/>
      <w:szCs w:val="18"/>
    </w:rPr>
  </w:style>
  <w:style w:type="paragraph" w:customStyle="1" w:styleId="22">
    <w:name w:val="修订2"/>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Company>
  <Pages>3</Pages>
  <Words>2134</Words>
  <Characters>2239</Characters>
  <Lines>23</Lines>
  <Paragraphs>6</Paragraphs>
  <TotalTime>114</TotalTime>
  <ScaleCrop>false</ScaleCrop>
  <LinksUpToDate>false</LinksUpToDate>
  <CharactersWithSpaces>2314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2024-11-20T08:52:00Z</dcterms:created>
  <dc:creator>yyfm</dc:creator>
  <cp:lastModifiedBy>wangyan</cp:lastModifiedBy>
  <cp:lastPrinted>2022-08-02T09:13:00Z</cp:lastPrinted>
  <dcterms:modified xsi:type="dcterms:W3CDTF">2025-10-24T09:14:15Z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3ECB5442550A483BB894451EFDC032B6_13</vt:lpwstr>
  </property>
  <property fmtid="{D5CDD505-2E9C-101B-9397-08002B2CF9AE}" pid="4" name="KSOTemplateDocerSaveRecord">
    <vt:lpwstr>eyJoZGlkIjoiYzQ2YTYyNDAxNDIyNDZmODRlZjE5MjdjMDZhMGNkZjMiLCJ1c2VySWQiOiI2MDk3Nzk3MzYifQ==</vt:lpwstr>
  </property>
</Properties>
</file>