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3539D">
      <w:pPr>
        <w:spacing w:before="156" w:beforeLines="50" w:after="156" w:afterLines="50" w:line="400" w:lineRule="exact"/>
        <w:rPr>
          <w:rFonts w:ascii="Times New Roman" w:hAnsi="Times New Roman" w:eastAsia="宋体" w:cs="Times New Roman"/>
          <w:bCs/>
          <w:iCs/>
          <w:color w:val="000000"/>
          <w:sz w:val="28"/>
        </w:rPr>
      </w:pPr>
      <w:r>
        <w:rPr>
          <w:rFonts w:ascii="Times New Roman" w:hAnsi="Times New Roman" w:eastAsia="宋体" w:cs="Times New Roman"/>
          <w:bCs/>
          <w:iCs/>
          <w:color w:val="000000"/>
          <w:sz w:val="28"/>
        </w:rPr>
        <w:t>证券代码：688549                          证券简称：中巨芯</w:t>
      </w:r>
    </w:p>
    <w:p w14:paraId="504CE18A">
      <w:pPr>
        <w:spacing w:before="156" w:beforeLines="50" w:after="156" w:afterLines="50" w:line="400" w:lineRule="exact"/>
        <w:jc w:val="center"/>
        <w:rPr>
          <w:rFonts w:ascii="Times New Roman" w:hAnsi="Times New Roman" w:eastAsia="宋体" w:cs="Times New Roman"/>
          <w:b/>
          <w:bCs/>
          <w:iCs/>
          <w:color w:val="000000"/>
          <w:sz w:val="32"/>
          <w:szCs w:val="32"/>
        </w:rPr>
      </w:pPr>
    </w:p>
    <w:p w14:paraId="70E96D66">
      <w:pPr>
        <w:spacing w:before="156" w:beforeLines="50" w:after="156" w:afterLines="50" w:line="400" w:lineRule="exact"/>
        <w:jc w:val="center"/>
        <w:rPr>
          <w:rFonts w:ascii="Times New Roman" w:hAnsi="Times New Roman" w:eastAsia="宋体" w:cs="Times New Roman"/>
          <w:b/>
          <w:bCs/>
          <w:iCs/>
          <w:color w:val="000000"/>
          <w:sz w:val="32"/>
          <w:szCs w:val="32"/>
        </w:rPr>
      </w:pPr>
      <w:r>
        <w:rPr>
          <w:rFonts w:ascii="Times New Roman" w:hAnsi="Times New Roman" w:eastAsia="宋体" w:cs="Times New Roman"/>
          <w:b/>
          <w:bCs/>
          <w:iCs/>
          <w:color w:val="000000"/>
          <w:sz w:val="32"/>
          <w:szCs w:val="32"/>
        </w:rPr>
        <w:t>中巨芯科技股份有限公司投资者关系活动记录表</w:t>
      </w:r>
    </w:p>
    <w:p w14:paraId="4FD39E3F">
      <w:pPr>
        <w:spacing w:line="400" w:lineRule="exact"/>
        <w:rPr>
          <w:rFonts w:ascii="Times New Roman" w:hAnsi="Times New Roman" w:eastAsia="宋体" w:cs="Times New Roman"/>
          <w:bCs/>
          <w:iCs/>
          <w:sz w:val="24"/>
        </w:rPr>
      </w:pPr>
      <w:r>
        <w:rPr>
          <w:rFonts w:ascii="Times New Roman" w:hAnsi="Times New Roman" w:eastAsia="宋体" w:cs="Times New Roman"/>
          <w:bCs/>
          <w:iCs/>
          <w:color w:val="000000"/>
          <w:sz w:val="24"/>
        </w:rPr>
        <w:t xml:space="preserve">                                                      </w:t>
      </w:r>
      <w:r>
        <w:rPr>
          <w:rFonts w:ascii="Times New Roman" w:hAnsi="Times New Roman" w:eastAsia="宋体" w:cs="Times New Roman"/>
          <w:bCs/>
          <w:iCs/>
          <w:color w:val="FF0000"/>
          <w:sz w:val="24"/>
        </w:rPr>
        <w:t xml:space="preserve"> </w:t>
      </w:r>
      <w:r>
        <w:rPr>
          <w:rFonts w:ascii="Times New Roman" w:hAnsi="Times New Roman" w:eastAsia="宋体" w:cs="Times New Roman"/>
          <w:bCs/>
          <w:iCs/>
          <w:sz w:val="24"/>
        </w:rPr>
        <w:t xml:space="preserve"> 编号：202</w:t>
      </w:r>
      <w:r>
        <w:rPr>
          <w:rFonts w:hint="eastAsia" w:ascii="Times New Roman" w:hAnsi="Times New Roman" w:eastAsia="宋体" w:cs="Times New Roman"/>
          <w:bCs/>
          <w:iCs/>
          <w:sz w:val="24"/>
          <w:lang w:val="en-US" w:eastAsia="zh-CN"/>
        </w:rPr>
        <w:t>5</w:t>
      </w:r>
      <w:r>
        <w:rPr>
          <w:rFonts w:ascii="Times New Roman" w:hAnsi="Times New Roman" w:eastAsia="宋体" w:cs="Times New Roman"/>
          <w:bCs/>
          <w:iCs/>
          <w:sz w:val="24"/>
        </w:rPr>
        <w:t>-00</w:t>
      </w:r>
      <w:r>
        <w:rPr>
          <w:rFonts w:hint="eastAsia" w:ascii="Times New Roman" w:hAnsi="Times New Roman" w:eastAsia="宋体" w:cs="Times New Roman"/>
          <w:bCs/>
          <w:iCs/>
          <w:sz w:val="24"/>
          <w:lang w:val="en-US" w:eastAsia="zh-CN"/>
        </w:rPr>
        <w:t>5</w:t>
      </w:r>
    </w:p>
    <w:tbl>
      <w:tblPr>
        <w:tblStyle w:val="9"/>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975"/>
      </w:tblGrid>
      <w:tr w14:paraId="2141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DC099E1">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投资者关系活动类别</w:t>
            </w:r>
          </w:p>
          <w:p w14:paraId="480D24B7">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088F7C9">
            <w:pPr>
              <w:spacing w:line="480" w:lineRule="atLeast"/>
              <w:rPr>
                <w:rFonts w:ascii="Times New Roman" w:hAnsi="Times New Roman" w:eastAsia="宋体" w:cs="Times New Roman"/>
                <w:bCs/>
                <w:iCs/>
                <w:color w:val="000000"/>
                <w:sz w:val="24"/>
                <w:szCs w:val="24"/>
              </w:rPr>
            </w:pPr>
            <w:r>
              <w:rPr>
                <w:rFonts w:hint="eastAsia" w:ascii="Times New Roman" w:hAnsi="Times New Roman"/>
                <w:color w:val="000000"/>
                <w:sz w:val="24"/>
                <w:szCs w:val="24"/>
              </w:rPr>
              <w:t>□</w:t>
            </w:r>
            <w:r>
              <w:rPr>
                <w:rFonts w:ascii="Times New Roman" w:hAnsi="Times New Roman" w:eastAsia="宋体" w:cs="Times New Roman"/>
                <w:sz w:val="24"/>
                <w:szCs w:val="24"/>
              </w:rPr>
              <w:t xml:space="preserve">特定对象调研        </w:t>
            </w:r>
            <w:r>
              <w:rPr>
                <w:rFonts w:hint="eastAsia" w:ascii="Times New Roman" w:hAnsi="Times New Roman"/>
                <w:color w:val="000000"/>
                <w:sz w:val="24"/>
                <w:szCs w:val="24"/>
              </w:rPr>
              <w:t>□</w:t>
            </w:r>
            <w:r>
              <w:rPr>
                <w:rFonts w:ascii="Times New Roman" w:hAnsi="Times New Roman" w:eastAsia="宋体" w:cs="Times New Roman"/>
                <w:sz w:val="24"/>
                <w:szCs w:val="24"/>
              </w:rPr>
              <w:t>分析师会议</w:t>
            </w:r>
          </w:p>
          <w:p w14:paraId="687FD7B4">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 xml:space="preserve">媒体采访            </w:t>
            </w: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业绩说明会</w:t>
            </w:r>
          </w:p>
          <w:p w14:paraId="0A280B42">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新闻发布会          </w:t>
            </w:r>
            <w:r>
              <w:rPr>
                <w:rFonts w:hint="eastAsia" w:ascii="Times New Roman" w:hAnsi="Times New Roman"/>
                <w:color w:val="000000"/>
                <w:sz w:val="24"/>
                <w:szCs w:val="24"/>
                <w:lang w:eastAsia="zh-CN"/>
              </w:rPr>
              <w:t>□</w:t>
            </w:r>
            <w:r>
              <w:rPr>
                <w:rFonts w:ascii="Times New Roman" w:hAnsi="Times New Roman" w:eastAsia="宋体" w:cs="Times New Roman"/>
                <w:sz w:val="24"/>
                <w:szCs w:val="24"/>
              </w:rPr>
              <w:t>路演活动</w:t>
            </w:r>
          </w:p>
          <w:p w14:paraId="30934A66">
            <w:pPr>
              <w:tabs>
                <w:tab w:val="left" w:pos="3045"/>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sz w:val="24"/>
                <w:szCs w:val="24"/>
              </w:rPr>
              <w:t>现</w:t>
            </w:r>
            <w:r>
              <w:rPr>
                <w:rFonts w:ascii="Times New Roman" w:hAnsi="Times New Roman" w:eastAsia="宋体" w:cs="Times New Roman"/>
                <w:sz w:val="24"/>
                <w:szCs w:val="24"/>
              </w:rPr>
              <w:t>场参观</w:t>
            </w:r>
          </w:p>
          <w:p w14:paraId="424FD70F">
            <w:pPr>
              <w:tabs>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其他（</w:t>
            </w:r>
            <w:r>
              <w:rPr>
                <w:rFonts w:ascii="Times New Roman" w:hAnsi="Times New Roman" w:eastAsia="宋体" w:cs="Times New Roman"/>
                <w:sz w:val="24"/>
                <w:szCs w:val="24"/>
                <w:u w:val="single"/>
              </w:rPr>
              <w:t>请文字说明其他活动内容）</w:t>
            </w:r>
          </w:p>
        </w:tc>
      </w:tr>
      <w:tr w14:paraId="1F58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3981F8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参与单位名称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8FCFBEE">
            <w:pPr>
              <w:jc w:val="both"/>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w:t>
            </w:r>
            <w:r>
              <w:rPr>
                <w:rFonts w:hint="eastAsia" w:ascii="Times New Roman" w:hAnsi="Times New Roman" w:eastAsia="宋体" w:cs="Times New Roman"/>
                <w:bCs/>
                <w:iCs/>
                <w:color w:val="000000"/>
                <w:sz w:val="24"/>
                <w:szCs w:val="24"/>
                <w:lang w:val="en-US" w:eastAsia="zh-CN"/>
              </w:rPr>
              <w:t>5</w:t>
            </w:r>
            <w:r>
              <w:rPr>
                <w:rFonts w:hint="eastAsia" w:ascii="Times New Roman" w:hAnsi="Times New Roman" w:eastAsia="宋体" w:cs="Times New Roman"/>
                <w:bCs/>
                <w:iCs/>
                <w:color w:val="000000"/>
                <w:sz w:val="24"/>
                <w:szCs w:val="24"/>
              </w:rPr>
              <w:t>年第</w:t>
            </w:r>
            <w:r>
              <w:rPr>
                <w:rFonts w:hint="eastAsia" w:ascii="Times New Roman" w:hAnsi="Times New Roman" w:eastAsia="宋体" w:cs="Times New Roman"/>
                <w:bCs/>
                <w:iCs/>
                <w:color w:val="000000"/>
                <w:sz w:val="24"/>
                <w:szCs w:val="24"/>
                <w:lang w:val="en-US" w:eastAsia="zh-CN"/>
              </w:rPr>
              <w:t>三</w:t>
            </w:r>
            <w:r>
              <w:rPr>
                <w:rFonts w:hint="eastAsia" w:ascii="Times New Roman" w:hAnsi="Times New Roman" w:eastAsia="宋体" w:cs="Times New Roman"/>
                <w:bCs/>
                <w:iCs/>
                <w:color w:val="000000"/>
                <w:sz w:val="24"/>
                <w:szCs w:val="24"/>
              </w:rPr>
              <w:t>季度业绩说明会</w:t>
            </w: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bCs/>
                <w:iCs/>
                <w:color w:val="000000"/>
                <w:sz w:val="24"/>
                <w:szCs w:val="24"/>
              </w:rPr>
              <w:t>参与本次业绩说明会的线上投资者</w:t>
            </w:r>
          </w:p>
        </w:tc>
      </w:tr>
      <w:tr w14:paraId="6DA8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B706D88">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时间</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D33FBDC">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w:t>
            </w:r>
            <w:r>
              <w:rPr>
                <w:rFonts w:hint="eastAsia" w:ascii="Times New Roman" w:hAnsi="Times New Roman" w:eastAsia="宋体" w:cs="Times New Roman"/>
                <w:bCs/>
                <w:iCs/>
                <w:color w:val="000000"/>
                <w:sz w:val="24"/>
                <w:szCs w:val="24"/>
                <w:lang w:val="en-US" w:eastAsia="zh-CN"/>
              </w:rPr>
              <w:t>5</w:t>
            </w:r>
            <w:r>
              <w:rPr>
                <w:rFonts w:hint="eastAsia" w:ascii="Times New Roman" w:hAnsi="Times New Roman" w:eastAsia="宋体" w:cs="Times New Roman"/>
                <w:bCs/>
                <w:iCs/>
                <w:color w:val="000000"/>
                <w:sz w:val="24"/>
                <w:szCs w:val="24"/>
              </w:rPr>
              <w:t>年</w:t>
            </w:r>
            <w:r>
              <w:rPr>
                <w:rFonts w:hint="eastAsia" w:ascii="Times New Roman" w:hAnsi="Times New Roman" w:eastAsia="宋体" w:cs="Times New Roman"/>
                <w:bCs/>
                <w:iCs/>
                <w:color w:val="000000"/>
                <w:sz w:val="24"/>
                <w:szCs w:val="24"/>
                <w:lang w:val="en-US" w:eastAsia="zh-CN"/>
              </w:rPr>
              <w:t>10</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29</w:t>
            </w:r>
            <w:r>
              <w:rPr>
                <w:rFonts w:hint="eastAsia" w:ascii="Times New Roman" w:hAnsi="Times New Roman" w:eastAsia="宋体" w:cs="Times New Roman"/>
                <w:bCs/>
                <w:iCs/>
                <w:color w:val="000000"/>
                <w:sz w:val="24"/>
                <w:szCs w:val="24"/>
              </w:rPr>
              <w:t>日</w:t>
            </w:r>
          </w:p>
        </w:tc>
      </w:tr>
      <w:tr w14:paraId="37B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C2F642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地点</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66074CC">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上海证券交易所上证路演中心</w:t>
            </w:r>
            <w:r>
              <w:rPr>
                <w:rFonts w:hint="eastAsia" w:ascii="Times New Roman" w:hAnsi="Times New Roman" w:eastAsia="宋体" w:cs="Times New Roman"/>
                <w:bCs/>
                <w:iCs/>
                <w:color w:val="000000"/>
                <w:sz w:val="24"/>
                <w:szCs w:val="24"/>
              </w:rPr>
              <w:br w:type="textWrapping"/>
            </w:r>
            <w:r>
              <w:rPr>
                <w:rFonts w:hint="eastAsia" w:ascii="Times New Roman" w:hAnsi="Times New Roman" w:eastAsia="宋体" w:cs="Times New Roman"/>
                <w:bCs/>
                <w:iCs/>
                <w:color w:val="000000"/>
                <w:sz w:val="24"/>
                <w:szCs w:val="24"/>
              </w:rPr>
              <w:t>（http://roadshow.sseinfo.com）</w:t>
            </w:r>
          </w:p>
        </w:tc>
      </w:tr>
      <w:tr w14:paraId="0608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10B3A9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上市公司接待人员姓名</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386914D3">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val="en-US" w:eastAsia="zh-CN"/>
              </w:rPr>
              <w:t>董事、</w:t>
            </w:r>
            <w:r>
              <w:rPr>
                <w:rFonts w:hint="eastAsia" w:ascii="Times New Roman" w:hAnsi="Times New Roman" w:eastAsia="宋体" w:cs="Times New Roman"/>
                <w:bCs/>
                <w:iCs/>
                <w:color w:val="000000"/>
                <w:sz w:val="24"/>
                <w:szCs w:val="24"/>
              </w:rPr>
              <w:t>总经理：陈刚先生</w:t>
            </w:r>
          </w:p>
          <w:p w14:paraId="4D91C2C2">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副总经理：陈东强先生</w:t>
            </w:r>
          </w:p>
          <w:p w14:paraId="00F07A82">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董事会秘书：陈立峰先生</w:t>
            </w:r>
            <w:r>
              <w:rPr>
                <w:rFonts w:hint="eastAsia" w:ascii="Times New Roman" w:hAnsi="Times New Roman" w:eastAsia="宋体" w:cs="Times New Roman"/>
                <w:bCs/>
                <w:iCs/>
                <w:color w:val="000000"/>
                <w:sz w:val="24"/>
                <w:szCs w:val="24"/>
              </w:rPr>
              <w:br w:type="textWrapping"/>
            </w:r>
            <w:r>
              <w:rPr>
                <w:rFonts w:hint="eastAsia" w:ascii="Times New Roman" w:hAnsi="Times New Roman" w:eastAsia="宋体" w:cs="Times New Roman"/>
                <w:bCs/>
                <w:iCs/>
                <w:color w:val="000000"/>
                <w:sz w:val="24"/>
                <w:szCs w:val="24"/>
              </w:rPr>
              <w:t>财务负责人：孙琳先生</w:t>
            </w:r>
          </w:p>
          <w:p w14:paraId="61E1E8C1">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独立董事：余伟平先生、徐静女士、石建宾先生</w:t>
            </w:r>
          </w:p>
        </w:tc>
      </w:tr>
      <w:tr w14:paraId="35D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931DD4D">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投资者关系活动主要内容介绍</w:t>
            </w:r>
          </w:p>
          <w:p w14:paraId="3314DB79">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33F6FFC">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i w:val="0"/>
                <w:iCs w:val="0"/>
                <w:caps w:val="0"/>
                <w:color w:val="000000"/>
                <w:spacing w:val="0"/>
                <w:kern w:val="0"/>
                <w:sz w:val="24"/>
                <w:szCs w:val="24"/>
                <w:shd w:val="clear"/>
                <w:lang w:bidi="ar"/>
              </w:rPr>
              <w:t>为便于广大投资者更加</w:t>
            </w:r>
            <w:r>
              <w:rPr>
                <w:rFonts w:hint="eastAsia" w:ascii="Times New Roman" w:hAnsi="Times New Roman" w:eastAsia="宋体" w:cs="Times New Roman"/>
                <w:bCs/>
                <w:i w:val="0"/>
                <w:iCs/>
                <w:caps w:val="0"/>
                <w:color w:val="000000"/>
                <w:spacing w:val="0"/>
                <w:sz w:val="24"/>
                <w:szCs w:val="24"/>
                <w:shd w:val="clear"/>
                <w:lang w:bidi="ar"/>
              </w:rPr>
              <w:t>全面深入地了解公司202</w:t>
            </w:r>
            <w:r>
              <w:rPr>
                <w:rFonts w:hint="eastAsia" w:ascii="Times New Roman" w:hAnsi="Times New Roman" w:eastAsia="宋体" w:cs="Times New Roman"/>
                <w:bCs/>
                <w:i w:val="0"/>
                <w:iCs/>
                <w:caps w:val="0"/>
                <w:color w:val="000000"/>
                <w:spacing w:val="0"/>
                <w:sz w:val="24"/>
                <w:szCs w:val="24"/>
                <w:shd w:val="clear"/>
                <w:lang w:val="en-US" w:eastAsia="zh-CN" w:bidi="ar"/>
              </w:rPr>
              <w:t>5</w:t>
            </w:r>
            <w:r>
              <w:rPr>
                <w:rFonts w:hint="eastAsia" w:ascii="Times New Roman" w:hAnsi="Times New Roman" w:eastAsia="宋体" w:cs="Times New Roman"/>
                <w:bCs/>
                <w:i w:val="0"/>
                <w:iCs/>
                <w:caps w:val="0"/>
                <w:color w:val="000000"/>
                <w:spacing w:val="0"/>
                <w:sz w:val="24"/>
                <w:szCs w:val="24"/>
                <w:shd w:val="clear"/>
                <w:lang w:bidi="ar"/>
              </w:rPr>
              <w:t>年第</w:t>
            </w:r>
            <w:r>
              <w:rPr>
                <w:rFonts w:hint="eastAsia" w:ascii="Times New Roman" w:hAnsi="Times New Roman" w:eastAsia="宋体" w:cs="Times New Roman"/>
                <w:bCs/>
                <w:i w:val="0"/>
                <w:iCs/>
                <w:caps w:val="0"/>
                <w:color w:val="000000"/>
                <w:spacing w:val="0"/>
                <w:sz w:val="24"/>
                <w:szCs w:val="24"/>
                <w:shd w:val="clear"/>
                <w:lang w:val="en-US" w:eastAsia="zh-CN" w:bidi="ar"/>
              </w:rPr>
              <w:t>三</w:t>
            </w:r>
            <w:r>
              <w:rPr>
                <w:rFonts w:hint="eastAsia" w:ascii="Times New Roman" w:hAnsi="Times New Roman" w:eastAsia="宋体" w:cs="Times New Roman"/>
                <w:bCs/>
                <w:i w:val="0"/>
                <w:iCs/>
                <w:caps w:val="0"/>
                <w:color w:val="000000"/>
                <w:spacing w:val="0"/>
                <w:sz w:val="24"/>
                <w:szCs w:val="24"/>
                <w:shd w:val="clear"/>
                <w:lang w:bidi="ar"/>
              </w:rPr>
              <w:t>季度的经营成果、财务状况</w:t>
            </w:r>
            <w:r>
              <w:rPr>
                <w:rFonts w:hint="eastAsia" w:ascii="Times New Roman" w:hAnsi="Times New Roman" w:eastAsia="宋体" w:cs="Times New Roman"/>
                <w:bCs/>
                <w:iCs/>
                <w:color w:val="000000"/>
                <w:sz w:val="24"/>
                <w:szCs w:val="24"/>
                <w:lang w:bidi="ar"/>
              </w:rPr>
              <w:t>等情况</w:t>
            </w:r>
            <w:r>
              <w:rPr>
                <w:rFonts w:hint="eastAsia" w:ascii="Times New Roman" w:hAnsi="Times New Roman" w:eastAsia="宋体" w:cs="Times New Roman"/>
                <w:bCs/>
                <w:i w:val="0"/>
                <w:iCs/>
                <w:caps w:val="0"/>
                <w:color w:val="000000"/>
                <w:spacing w:val="0"/>
                <w:sz w:val="24"/>
                <w:szCs w:val="24"/>
                <w:shd w:val="clear"/>
                <w:lang w:bidi="ar"/>
              </w:rPr>
              <w:t>，</w:t>
            </w:r>
            <w:r>
              <w:rPr>
                <w:rFonts w:hint="eastAsia" w:ascii="Times New Roman" w:hAnsi="Times New Roman" w:eastAsia="宋体" w:cs="Times New Roman"/>
                <w:bCs/>
                <w:i w:val="0"/>
                <w:iCs/>
                <w:caps w:val="0"/>
                <w:color w:val="000000"/>
                <w:spacing w:val="0"/>
                <w:sz w:val="24"/>
                <w:szCs w:val="24"/>
                <w:shd w:val="clear"/>
                <w:lang w:val="en-US" w:eastAsia="zh-CN" w:bidi="ar"/>
              </w:rPr>
              <w:t>公司于2025年10月29日在</w:t>
            </w:r>
            <w:r>
              <w:rPr>
                <w:rFonts w:hint="eastAsia" w:ascii="宋体" w:hAnsi="宋体" w:eastAsia="宋体" w:cs="宋体"/>
                <w:color w:val="000000"/>
                <w:kern w:val="0"/>
                <w:sz w:val="24"/>
                <w:szCs w:val="24"/>
                <w:lang w:bidi="ar"/>
              </w:rPr>
              <w:t>上海证券交易所上证路演中心网络平台</w:t>
            </w:r>
            <w:r>
              <w:rPr>
                <w:rFonts w:hint="eastAsia" w:ascii="Times New Roman" w:hAnsi="Times New Roman" w:eastAsia="宋体" w:cs="Times New Roman"/>
                <w:bCs/>
                <w:i w:val="0"/>
                <w:iCs/>
                <w:caps w:val="0"/>
                <w:color w:val="000000"/>
                <w:spacing w:val="0"/>
                <w:sz w:val="24"/>
                <w:szCs w:val="24"/>
                <w:shd w:val="clear"/>
                <w:lang w:val="en-US" w:eastAsia="zh-CN" w:bidi="ar"/>
              </w:rPr>
              <w:t>（http://roadshow.sseinfo.com）</w:t>
            </w:r>
            <w:r>
              <w:rPr>
                <w:rFonts w:hint="eastAsia" w:ascii="宋体" w:hAnsi="宋体" w:eastAsia="宋体" w:cs="宋体"/>
                <w:color w:val="000000"/>
                <w:kern w:val="0"/>
                <w:sz w:val="24"/>
                <w:szCs w:val="24"/>
                <w:lang w:val="en-US" w:eastAsia="zh-CN" w:bidi="ar"/>
              </w:rPr>
              <w:t>召开了</w:t>
            </w:r>
            <w:r>
              <w:rPr>
                <w:rFonts w:hint="eastAsia" w:ascii="Times New Roman" w:hAnsi="Times New Roman" w:eastAsia="宋体" w:cs="Times New Roman"/>
                <w:bCs/>
                <w:i w:val="0"/>
                <w:iCs/>
                <w:caps w:val="0"/>
                <w:color w:val="000000"/>
                <w:spacing w:val="0"/>
                <w:sz w:val="24"/>
                <w:szCs w:val="24"/>
                <w:shd w:val="clear"/>
                <w:lang w:bidi="ar"/>
              </w:rPr>
              <w:t>202</w:t>
            </w:r>
            <w:r>
              <w:rPr>
                <w:rFonts w:hint="eastAsia" w:ascii="Times New Roman" w:hAnsi="Times New Roman" w:eastAsia="宋体" w:cs="Times New Roman"/>
                <w:bCs/>
                <w:i w:val="0"/>
                <w:iCs/>
                <w:caps w:val="0"/>
                <w:color w:val="000000"/>
                <w:spacing w:val="0"/>
                <w:sz w:val="24"/>
                <w:szCs w:val="24"/>
                <w:shd w:val="clear"/>
                <w:lang w:val="en-US" w:eastAsia="zh-CN" w:bidi="ar"/>
              </w:rPr>
              <w:t>5</w:t>
            </w:r>
            <w:r>
              <w:rPr>
                <w:rFonts w:hint="eastAsia" w:ascii="Times New Roman" w:hAnsi="Times New Roman" w:eastAsia="宋体" w:cs="Times New Roman"/>
                <w:bCs/>
                <w:i w:val="0"/>
                <w:iCs/>
                <w:caps w:val="0"/>
                <w:color w:val="000000"/>
                <w:spacing w:val="0"/>
                <w:sz w:val="24"/>
                <w:szCs w:val="24"/>
                <w:shd w:val="clear"/>
                <w:lang w:bidi="ar"/>
              </w:rPr>
              <w:t>年第</w:t>
            </w:r>
            <w:r>
              <w:rPr>
                <w:rFonts w:hint="eastAsia" w:ascii="Times New Roman" w:hAnsi="Times New Roman" w:eastAsia="宋体" w:cs="Times New Roman"/>
                <w:bCs/>
                <w:i w:val="0"/>
                <w:iCs/>
                <w:caps w:val="0"/>
                <w:color w:val="000000"/>
                <w:spacing w:val="0"/>
                <w:sz w:val="24"/>
                <w:szCs w:val="24"/>
                <w:shd w:val="clear"/>
                <w:lang w:val="en-US" w:eastAsia="zh-CN" w:bidi="ar"/>
              </w:rPr>
              <w:t>三</w:t>
            </w:r>
            <w:r>
              <w:rPr>
                <w:rFonts w:hint="eastAsia" w:ascii="Times New Roman" w:hAnsi="Times New Roman" w:eastAsia="宋体" w:cs="Times New Roman"/>
                <w:bCs/>
                <w:i w:val="0"/>
                <w:iCs/>
                <w:caps w:val="0"/>
                <w:color w:val="000000"/>
                <w:spacing w:val="0"/>
                <w:sz w:val="24"/>
                <w:szCs w:val="24"/>
                <w:shd w:val="clear"/>
                <w:lang w:bidi="ar"/>
              </w:rPr>
              <w:t>季度</w:t>
            </w:r>
            <w:r>
              <w:rPr>
                <w:rFonts w:hint="eastAsia" w:ascii="Times New Roman" w:hAnsi="Times New Roman" w:eastAsia="宋体" w:cs="Times New Roman"/>
                <w:bCs/>
                <w:iCs/>
                <w:color w:val="000000"/>
                <w:sz w:val="24"/>
                <w:szCs w:val="24"/>
              </w:rPr>
              <w:t>业绩说明会</w:t>
            </w:r>
            <w:r>
              <w:rPr>
                <w:rFonts w:hint="eastAsia" w:ascii="宋体" w:hAnsi="宋体" w:eastAsia="宋体" w:cs="宋体"/>
                <w:color w:val="000000"/>
                <w:kern w:val="0"/>
                <w:sz w:val="24"/>
                <w:szCs w:val="24"/>
                <w:lang w:bidi="ar"/>
              </w:rPr>
              <w:t>，以网络文字互动的形式与投资者展开了互动交流。互动交流</w:t>
            </w:r>
            <w:r>
              <w:rPr>
                <w:rFonts w:hint="eastAsia" w:ascii="宋体" w:hAnsi="宋体" w:eastAsia="宋体" w:cs="宋体"/>
                <w:color w:val="000000"/>
                <w:kern w:val="0"/>
                <w:sz w:val="24"/>
                <w:szCs w:val="24"/>
                <w:highlight w:val="none"/>
                <w:lang w:bidi="ar"/>
              </w:rPr>
              <w:t>问题及回复如下</w:t>
            </w:r>
            <w:r>
              <w:rPr>
                <w:rFonts w:hint="eastAsia" w:ascii="宋体" w:hAnsi="宋体" w:eastAsia="宋体" w:cs="宋体"/>
                <w:color w:val="000000"/>
                <w:kern w:val="0"/>
                <w:sz w:val="24"/>
                <w:szCs w:val="24"/>
                <w:lang w:bidi="ar"/>
              </w:rPr>
              <w:t>：</w:t>
            </w:r>
          </w:p>
          <w:p w14:paraId="70D865F8">
            <w:pPr>
              <w:keepNext w:val="0"/>
              <w:keepLines w:val="0"/>
              <w:pageBreakBefore w:val="0"/>
              <w:widowControl/>
              <w:kinsoku/>
              <w:wordWrap/>
              <w:overflowPunct/>
              <w:topLinePunct w:val="0"/>
              <w:autoSpaceDE/>
              <w:autoSpaceDN/>
              <w:bidi w:val="0"/>
              <w:adjustRightInd/>
              <w:snapToGrid/>
              <w:spacing w:before="313" w:beforeLines="100" w:line="360" w:lineRule="auto"/>
              <w:jc w:val="left"/>
              <w:textAlignment w:val="auto"/>
              <w:rPr>
                <w:sz w:val="24"/>
                <w:szCs w:val="24"/>
              </w:rPr>
            </w:pPr>
            <w:r>
              <w:rPr>
                <w:rFonts w:hint="eastAsia" w:ascii="宋体" w:hAnsi="宋体" w:eastAsia="宋体" w:cs="宋体"/>
                <w:b/>
                <w:bCs/>
                <w:color w:val="000000"/>
                <w:kern w:val="0"/>
                <w:sz w:val="24"/>
                <w:szCs w:val="24"/>
                <w:lang w:bidi="ar"/>
              </w:rPr>
              <w:t>Q：尊敬</w:t>
            </w:r>
            <w:bookmarkStart w:id="0" w:name="_GoBack"/>
            <w:bookmarkEnd w:id="0"/>
            <w:r>
              <w:rPr>
                <w:rFonts w:hint="eastAsia" w:ascii="宋体" w:hAnsi="宋体" w:eastAsia="宋体" w:cs="宋体"/>
                <w:b/>
                <w:bCs/>
                <w:color w:val="000000"/>
                <w:kern w:val="0"/>
                <w:sz w:val="24"/>
                <w:szCs w:val="24"/>
                <w:lang w:bidi="ar"/>
              </w:rPr>
              <w:t>的总经理，您好！祝贺公司三季度净利润实现152.24%的高速增长。市场高度关注此向好趋势能否持续？公司近期将“高纯三氧化硫项目”产能大幅提升47%至15万吨/年，并追加投资至1.52亿元，这是否基于明确的强劲订单支撑？新增产能的消化是否有充分信心？此外，公司通过参股子公司收购英国Heraeus布局的高纯石英材料新领域，预计何时能对公司业绩产生实质性贡献？ 感谢您的耐心阅读和解答！</w:t>
            </w:r>
          </w:p>
          <w:p w14:paraId="30B9F9A8">
            <w:pPr>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公司第三季度净利润的增长主要得益于浙江基地电子特种气体二期和华中基地电子湿化学品产品产销量稳步提升。公司将进一步加大市场开拓力度，努力提升产品市场规模。公司对高纯三氧化硫项目的扩产是基于对市场前景的充分研判，旨在进一步完善产业链配套。公司通过参股子公司收购的英国Heraeus，目前其生产经营正常，预计短期内对公司业绩影响有限。敬请投资者注意投资风险。感谢您的关注！</w:t>
            </w:r>
          </w:p>
          <w:p w14:paraId="7FA8E721">
            <w:pPr>
              <w:widowControl/>
              <w:spacing w:line="360" w:lineRule="auto"/>
              <w:jc w:val="left"/>
              <w:rPr>
                <w:rFonts w:ascii="宋体" w:hAnsi="宋体" w:eastAsia="宋体" w:cs="宋体"/>
                <w:b/>
                <w:bCs/>
                <w:color w:val="000000"/>
                <w:kern w:val="0"/>
                <w:sz w:val="24"/>
                <w:szCs w:val="24"/>
                <w:lang w:bidi="ar"/>
              </w:rPr>
            </w:pPr>
          </w:p>
          <w:p w14:paraId="08E135A6">
            <w:pPr>
              <w:widowControl/>
              <w:spacing w:line="360" w:lineRule="auto"/>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我看上证互动易有人咨询，六氟化钨的提问，不知道是官方信息吗？具体内容是：中巨芯在六氟化钨领域布局深厚，是细分特气的“隐形冠军”。其六氟化钨今年扩产500吨，预计明年产能达1000吨，且已和华虹半导体签订明年的供货协议。同时，公司电子特种气体业务增长强劲，2024年营收同比增长43.72%，未来随着电子级氟碳类气体和六氟化钨气体等二期产品的逐步放量，毛利率有望进一步提升。在六氟化钨涨价的行业背景下，中巨芯凭借产能扩张和客户合作，将显著受益于行业红利。</w:t>
            </w:r>
          </w:p>
          <w:p w14:paraId="2966085F">
            <w:pPr>
              <w:widowControl/>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公司目前六氟化钨产品产能为600吨/年，公司积极进行市场开拓，具体业务数据请以公司披露的公告为准。公司将继续把握市场机遇，通过产品迭代与产能提升增强核心竞争力，敬请投资者注意投资风险，理性决策。感谢您的关注！</w:t>
            </w:r>
          </w:p>
          <w:p w14:paraId="3F2E597C">
            <w:pPr>
              <w:widowControl/>
              <w:spacing w:line="360" w:lineRule="auto"/>
              <w:jc w:val="left"/>
              <w:rPr>
                <w:rFonts w:ascii="宋体" w:hAnsi="宋体" w:eastAsia="宋体" w:cs="宋体"/>
                <w:b/>
                <w:bCs/>
                <w:color w:val="000000"/>
                <w:kern w:val="0"/>
                <w:sz w:val="24"/>
                <w:szCs w:val="24"/>
                <w:lang w:bidi="ar"/>
              </w:rPr>
            </w:pPr>
          </w:p>
          <w:p w14:paraId="219A9B50">
            <w:pPr>
              <w:widowControl/>
              <w:spacing w:line="360" w:lineRule="auto"/>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Q：公司如何看待“增收不增利”的局面？针对原材料成本上涨的压力，公司已采取或计划采取哪些具体的成本控制措施来改善盈利能力？</w:t>
            </w:r>
          </w:p>
          <w:p w14:paraId="4D46AC6B">
            <w:pPr>
              <w:spacing w:line="360" w:lineRule="auto"/>
              <w:rPr>
                <w:rFonts w:ascii="微软雅黑" w:hAnsi="微软雅黑" w:eastAsia="微软雅黑" w:cs="微软雅黑"/>
                <w:color w:val="333333"/>
                <w:sz w:val="24"/>
                <w:szCs w:val="24"/>
                <w:shd w:val="clear" w:color="auto" w:fill="FFFFFF"/>
              </w:rPr>
            </w:pPr>
            <w:r>
              <w:rPr>
                <w:rFonts w:hint="eastAsia" w:ascii="宋体" w:hAnsi="宋体" w:eastAsia="宋体" w:cs="宋体"/>
                <w:color w:val="000000"/>
                <w:kern w:val="0"/>
                <w:sz w:val="24"/>
                <w:szCs w:val="24"/>
                <w:lang w:bidi="ar"/>
              </w:rPr>
              <w:t>A：尊敬的投资者，您好！公司持续加大市场开拓力度，2025年前三季度实现营业收入8.81亿元，同比增加17.56%。但受市场环境、行业竞争加剧等因素影响，部分产品销售价格下降，同时部分产品原材料价格上涨，导致对应产品成本上升，从而导致2025年前三季度净利润同比下降。公司将继续从采购、生产运营、工艺优化和市场开拓等方面开展降本增效工作。感谢您的关注！</w:t>
            </w:r>
          </w:p>
          <w:p w14:paraId="2820BCAC">
            <w:pPr>
              <w:widowControl/>
              <w:spacing w:line="360" w:lineRule="auto"/>
              <w:jc w:val="left"/>
              <w:rPr>
                <w:rFonts w:ascii="宋体" w:hAnsi="宋体" w:eastAsia="宋体" w:cs="宋体"/>
                <w:b/>
                <w:bCs/>
                <w:color w:val="000000"/>
                <w:kern w:val="0"/>
                <w:sz w:val="24"/>
                <w:szCs w:val="24"/>
                <w:lang w:bidi="ar"/>
              </w:rPr>
            </w:pPr>
          </w:p>
          <w:p w14:paraId="3152E07D">
            <w:pPr>
              <w:widowControl/>
              <w:spacing w:line="360" w:lineRule="auto"/>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Q：第三季度净利润的强劲增长是得益于哪些具体因素？这种增长势头是短期波动，还是标志着公司经营状况出现了趋势性好转？公司预计哪些积极因素可以在第四季度乃至明年延续？</w:t>
            </w:r>
          </w:p>
          <w:p w14:paraId="2B93D5CF">
            <w:pPr>
              <w:spacing w:line="360" w:lineRule="auto"/>
              <w:ind w:firstLine="0" w:firstLineChars="0"/>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公司第三季度净利润同比有较大比例增加主要系通过持续的市场开拓和工艺技术优化，浙江基地电子特种气体二期和华中基地电子湿化学品产品产销量稳步提升，毛利总额相较去年同期有所提升。公司一方面将继续通过提升运营水平，保持一定的成本优势；另一方面将持续加大市场开拓力度，不断提升产品的市场销售规模，努力增强公司整体盈利能力。感谢您的关注！</w:t>
            </w:r>
          </w:p>
          <w:p w14:paraId="33A1FA19">
            <w:pPr>
              <w:spacing w:line="360" w:lineRule="auto"/>
              <w:rPr>
                <w:rFonts w:ascii="Times New Roman" w:hAnsi="Times New Roman" w:eastAsia="宋体" w:cs="Times New Roman"/>
                <w:bCs/>
                <w:iCs/>
                <w:color w:val="000000"/>
                <w:sz w:val="24"/>
                <w:szCs w:val="24"/>
              </w:rPr>
            </w:pPr>
          </w:p>
          <w:p w14:paraId="0AF208D1">
            <w:pPr>
              <w:spacing w:line="360" w:lineRule="auto"/>
              <w:rPr>
                <w:rFonts w:hint="eastAsia" w:ascii="Times New Roman" w:hAnsi="Times New Roman" w:eastAsia="宋体" w:cs="Times New Roman"/>
                <w:b/>
                <w:bCs w:val="0"/>
                <w:iCs/>
                <w:color w:val="000000"/>
                <w:sz w:val="24"/>
                <w:szCs w:val="24"/>
                <w:lang w:val="en-US" w:eastAsia="zh-CN"/>
              </w:rPr>
            </w:pPr>
            <w:r>
              <w:rPr>
                <w:rFonts w:hint="eastAsia" w:ascii="Times New Roman" w:hAnsi="Times New Roman" w:eastAsia="宋体" w:cs="Times New Roman"/>
                <w:b/>
                <w:bCs w:val="0"/>
                <w:iCs/>
                <w:color w:val="000000"/>
                <w:sz w:val="24"/>
                <w:szCs w:val="24"/>
                <w:lang w:val="en-US" w:eastAsia="zh-CN"/>
              </w:rPr>
              <w:t>Q：公司是基于怎样的市场判断决定大幅扩充高纯三氧化硫产能的？此次项目延期的主要原因是什么？新增产能释放后，预计将对公司未来的市场份额和收入结构产生怎样的影响？</w:t>
            </w:r>
          </w:p>
          <w:p w14:paraId="30BA70E3">
            <w:pPr>
              <w:spacing w:line="360" w:lineRule="auto"/>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A：尊敬的投资者，您好！公司根据市场实际情况，基于产品原料品质和供应的可控，决定对高纯三氧化硫项目扩产。为保障募投项目的实施质量与募集资金的使用效果，计划在本次增加投资规模的同时对该项目投资进度进行同步调整。高纯三氧化硫项目为公司电子级硫酸产品生产配套项目，项目建成后，公司将持续做好市场开拓，促进高纯三氧化硫的产能释放。感谢您的关注！</w:t>
            </w:r>
          </w:p>
        </w:tc>
      </w:tr>
      <w:tr w14:paraId="3A9B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6480C7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关于本次活动是否涉及应当披露重大信息的说明</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1BB51810">
            <w:pPr>
              <w:jc w:val="both"/>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本次活动，公司严格按照相关规定交流沟通，不存在未公开重大信息泄露等情形。</w:t>
            </w:r>
          </w:p>
        </w:tc>
      </w:tr>
      <w:tr w14:paraId="6C33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2938683">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附件清单（如有）</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6C6CC6A6">
            <w:pPr>
              <w:jc w:val="both"/>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无</w:t>
            </w:r>
          </w:p>
        </w:tc>
      </w:tr>
      <w:tr w14:paraId="6BB7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7D10F65">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日期</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B605C8C">
            <w:pPr>
              <w:jc w:val="lef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w:t>
            </w:r>
            <w:r>
              <w:rPr>
                <w:rFonts w:hint="eastAsia" w:ascii="Times New Roman" w:hAnsi="Times New Roman" w:eastAsia="宋体" w:cs="Times New Roman"/>
                <w:bCs/>
                <w:iCs/>
                <w:color w:val="000000"/>
                <w:sz w:val="24"/>
                <w:szCs w:val="24"/>
                <w:lang w:val="en-US" w:eastAsia="zh-CN"/>
              </w:rPr>
              <w:t>5</w:t>
            </w:r>
            <w:r>
              <w:rPr>
                <w:rFonts w:hint="eastAsia" w:ascii="Times New Roman" w:hAnsi="Times New Roman" w:eastAsia="宋体" w:cs="Times New Roman"/>
                <w:bCs/>
                <w:iCs/>
                <w:color w:val="000000"/>
                <w:sz w:val="24"/>
                <w:szCs w:val="24"/>
              </w:rPr>
              <w:t>年</w:t>
            </w:r>
            <w:r>
              <w:rPr>
                <w:rFonts w:hint="eastAsia" w:ascii="Times New Roman" w:hAnsi="Times New Roman" w:eastAsia="宋体" w:cs="Times New Roman"/>
                <w:bCs/>
                <w:iCs/>
                <w:color w:val="000000"/>
                <w:sz w:val="24"/>
                <w:szCs w:val="24"/>
                <w:lang w:val="en-US" w:eastAsia="zh-CN"/>
              </w:rPr>
              <w:t>10</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29</w:t>
            </w:r>
            <w:r>
              <w:rPr>
                <w:rFonts w:hint="eastAsia" w:ascii="Times New Roman" w:hAnsi="Times New Roman" w:eastAsia="宋体" w:cs="Times New Roman"/>
                <w:bCs/>
                <w:iCs/>
                <w:color w:val="000000"/>
                <w:sz w:val="24"/>
                <w:szCs w:val="24"/>
              </w:rPr>
              <w:t>日</w:t>
            </w:r>
          </w:p>
        </w:tc>
      </w:tr>
    </w:tbl>
    <w:p w14:paraId="6C1941A5">
      <w:pPr>
        <w:spacing w:line="360" w:lineRule="auto"/>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yMjEyZWQ2MjJjMDMyYjNkOGJiODBjYmQzYWU0NzYifQ=="/>
  </w:docVars>
  <w:rsids>
    <w:rsidRoot w:val="00172A27"/>
    <w:rsid w:val="00014C9A"/>
    <w:rsid w:val="00041346"/>
    <w:rsid w:val="00051138"/>
    <w:rsid w:val="00077269"/>
    <w:rsid w:val="000C202A"/>
    <w:rsid w:val="000C51C5"/>
    <w:rsid w:val="001012FC"/>
    <w:rsid w:val="00135507"/>
    <w:rsid w:val="0016783D"/>
    <w:rsid w:val="001B2BF9"/>
    <w:rsid w:val="0021215C"/>
    <w:rsid w:val="00223F94"/>
    <w:rsid w:val="00270A26"/>
    <w:rsid w:val="002E29D6"/>
    <w:rsid w:val="003268FF"/>
    <w:rsid w:val="00380C08"/>
    <w:rsid w:val="0038452F"/>
    <w:rsid w:val="003B5F7A"/>
    <w:rsid w:val="003E24FB"/>
    <w:rsid w:val="003F124B"/>
    <w:rsid w:val="00466BA7"/>
    <w:rsid w:val="00524A7E"/>
    <w:rsid w:val="005827B7"/>
    <w:rsid w:val="005A6039"/>
    <w:rsid w:val="005C088A"/>
    <w:rsid w:val="005D7C44"/>
    <w:rsid w:val="00657B07"/>
    <w:rsid w:val="0066264A"/>
    <w:rsid w:val="00663864"/>
    <w:rsid w:val="00675087"/>
    <w:rsid w:val="006C7B83"/>
    <w:rsid w:val="006D0743"/>
    <w:rsid w:val="008746DE"/>
    <w:rsid w:val="008E3248"/>
    <w:rsid w:val="00973C3D"/>
    <w:rsid w:val="00991C92"/>
    <w:rsid w:val="00A21808"/>
    <w:rsid w:val="00A222A4"/>
    <w:rsid w:val="00A25D6E"/>
    <w:rsid w:val="00A4567D"/>
    <w:rsid w:val="00AB2E69"/>
    <w:rsid w:val="00AB4173"/>
    <w:rsid w:val="00B55B2B"/>
    <w:rsid w:val="00B62565"/>
    <w:rsid w:val="00C70537"/>
    <w:rsid w:val="00C85A2C"/>
    <w:rsid w:val="00D0612E"/>
    <w:rsid w:val="00D44537"/>
    <w:rsid w:val="00D459F5"/>
    <w:rsid w:val="00D9564B"/>
    <w:rsid w:val="00DC028D"/>
    <w:rsid w:val="00DC1F47"/>
    <w:rsid w:val="00E10369"/>
    <w:rsid w:val="00E328A4"/>
    <w:rsid w:val="00E86208"/>
    <w:rsid w:val="00E90257"/>
    <w:rsid w:val="00E9742B"/>
    <w:rsid w:val="00EA2B85"/>
    <w:rsid w:val="00F15A5A"/>
    <w:rsid w:val="00F22009"/>
    <w:rsid w:val="00F8103E"/>
    <w:rsid w:val="00FA34DF"/>
    <w:rsid w:val="00FB6718"/>
    <w:rsid w:val="016F5A56"/>
    <w:rsid w:val="0375362D"/>
    <w:rsid w:val="04161698"/>
    <w:rsid w:val="04DE5A5C"/>
    <w:rsid w:val="05263B5D"/>
    <w:rsid w:val="053E4A03"/>
    <w:rsid w:val="05434EA7"/>
    <w:rsid w:val="06654211"/>
    <w:rsid w:val="09F96578"/>
    <w:rsid w:val="0A4933F3"/>
    <w:rsid w:val="0A5B7E05"/>
    <w:rsid w:val="0A613FA4"/>
    <w:rsid w:val="0D605732"/>
    <w:rsid w:val="0DAC6CBC"/>
    <w:rsid w:val="0DDF7558"/>
    <w:rsid w:val="1047786D"/>
    <w:rsid w:val="1084548A"/>
    <w:rsid w:val="10A65B38"/>
    <w:rsid w:val="115A7068"/>
    <w:rsid w:val="116157BF"/>
    <w:rsid w:val="11641C95"/>
    <w:rsid w:val="11BC387F"/>
    <w:rsid w:val="120053C3"/>
    <w:rsid w:val="136B71AF"/>
    <w:rsid w:val="14F95EB0"/>
    <w:rsid w:val="157633D7"/>
    <w:rsid w:val="15874F52"/>
    <w:rsid w:val="166718DF"/>
    <w:rsid w:val="1901601B"/>
    <w:rsid w:val="19BE73EB"/>
    <w:rsid w:val="1A977CB9"/>
    <w:rsid w:val="1F2D27EA"/>
    <w:rsid w:val="1FB77D57"/>
    <w:rsid w:val="20370574"/>
    <w:rsid w:val="23206FB3"/>
    <w:rsid w:val="23ED5B1A"/>
    <w:rsid w:val="24303C58"/>
    <w:rsid w:val="24F353B2"/>
    <w:rsid w:val="255F07E0"/>
    <w:rsid w:val="25FA2770"/>
    <w:rsid w:val="26E70454"/>
    <w:rsid w:val="276B1BCF"/>
    <w:rsid w:val="278774F8"/>
    <w:rsid w:val="28CF2509"/>
    <w:rsid w:val="29F574D6"/>
    <w:rsid w:val="2BC5112A"/>
    <w:rsid w:val="2D5072E5"/>
    <w:rsid w:val="2D617A2B"/>
    <w:rsid w:val="2D630BFB"/>
    <w:rsid w:val="2F020DFC"/>
    <w:rsid w:val="2F53679D"/>
    <w:rsid w:val="300264A9"/>
    <w:rsid w:val="30FB5027"/>
    <w:rsid w:val="32764F2C"/>
    <w:rsid w:val="342F5CDB"/>
    <w:rsid w:val="34D72A5E"/>
    <w:rsid w:val="35150A87"/>
    <w:rsid w:val="36C879B2"/>
    <w:rsid w:val="37200916"/>
    <w:rsid w:val="389649A8"/>
    <w:rsid w:val="3C306C1A"/>
    <w:rsid w:val="3DBD4357"/>
    <w:rsid w:val="3E6673A8"/>
    <w:rsid w:val="3EDE49E6"/>
    <w:rsid w:val="3F06588A"/>
    <w:rsid w:val="406D3E12"/>
    <w:rsid w:val="41817970"/>
    <w:rsid w:val="42786A9F"/>
    <w:rsid w:val="42BA70B7"/>
    <w:rsid w:val="43486FF0"/>
    <w:rsid w:val="4A527BD5"/>
    <w:rsid w:val="4A58343D"/>
    <w:rsid w:val="4BF90C50"/>
    <w:rsid w:val="4CF612C3"/>
    <w:rsid w:val="4E4C5872"/>
    <w:rsid w:val="50646D59"/>
    <w:rsid w:val="506863A4"/>
    <w:rsid w:val="507B60D8"/>
    <w:rsid w:val="50E60BA8"/>
    <w:rsid w:val="519F1678"/>
    <w:rsid w:val="51B5656C"/>
    <w:rsid w:val="52795A61"/>
    <w:rsid w:val="55927687"/>
    <w:rsid w:val="562C55D2"/>
    <w:rsid w:val="565F7815"/>
    <w:rsid w:val="57DD107A"/>
    <w:rsid w:val="59590F80"/>
    <w:rsid w:val="59BA0B85"/>
    <w:rsid w:val="5A3F7C8A"/>
    <w:rsid w:val="5ABE6548"/>
    <w:rsid w:val="5BB26726"/>
    <w:rsid w:val="5BCE2C90"/>
    <w:rsid w:val="5C0D1BAE"/>
    <w:rsid w:val="5CA67217"/>
    <w:rsid w:val="5CAB38A1"/>
    <w:rsid w:val="5D746389"/>
    <w:rsid w:val="5F15160F"/>
    <w:rsid w:val="5F4252CB"/>
    <w:rsid w:val="60544733"/>
    <w:rsid w:val="60A056E7"/>
    <w:rsid w:val="61BF394A"/>
    <w:rsid w:val="62C603F1"/>
    <w:rsid w:val="63133F4E"/>
    <w:rsid w:val="63A1648C"/>
    <w:rsid w:val="63D27965"/>
    <w:rsid w:val="651346D9"/>
    <w:rsid w:val="656D30D8"/>
    <w:rsid w:val="65DE4CE7"/>
    <w:rsid w:val="65F55820"/>
    <w:rsid w:val="666E0D67"/>
    <w:rsid w:val="66983372"/>
    <w:rsid w:val="67866B91"/>
    <w:rsid w:val="678F66C0"/>
    <w:rsid w:val="680E72CD"/>
    <w:rsid w:val="68AB4C28"/>
    <w:rsid w:val="68E37F41"/>
    <w:rsid w:val="692F7608"/>
    <w:rsid w:val="6C094140"/>
    <w:rsid w:val="6C7E6029"/>
    <w:rsid w:val="6D2A25C0"/>
    <w:rsid w:val="6DFE7D9C"/>
    <w:rsid w:val="6E072901"/>
    <w:rsid w:val="6E5805C6"/>
    <w:rsid w:val="6E8A571E"/>
    <w:rsid w:val="6F7C52D9"/>
    <w:rsid w:val="6F94661F"/>
    <w:rsid w:val="700510C2"/>
    <w:rsid w:val="705078C9"/>
    <w:rsid w:val="70E242D8"/>
    <w:rsid w:val="71AC3CF0"/>
    <w:rsid w:val="73025D8D"/>
    <w:rsid w:val="744D2BDD"/>
    <w:rsid w:val="74FD680C"/>
    <w:rsid w:val="75E3075A"/>
    <w:rsid w:val="76082698"/>
    <w:rsid w:val="764B0E32"/>
    <w:rsid w:val="76BF646F"/>
    <w:rsid w:val="76D41FE4"/>
    <w:rsid w:val="76E301FF"/>
    <w:rsid w:val="775841CD"/>
    <w:rsid w:val="7813558F"/>
    <w:rsid w:val="7819508C"/>
    <w:rsid w:val="78D53C7B"/>
    <w:rsid w:val="78FB0D39"/>
    <w:rsid w:val="7A37631C"/>
    <w:rsid w:val="7A8619BC"/>
    <w:rsid w:val="7AC322A6"/>
    <w:rsid w:val="7B1859C4"/>
    <w:rsid w:val="7BCB7664"/>
    <w:rsid w:val="7CCC1859"/>
    <w:rsid w:val="7CEA3B1A"/>
    <w:rsid w:val="7F85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Balloon Text"/>
    <w:basedOn w:val="1"/>
    <w:link w:val="14"/>
    <w:autoRedefine/>
    <w:qFormat/>
    <w:uiPriority w:val="0"/>
    <w:rPr>
      <w:sz w:val="18"/>
      <w:szCs w:val="18"/>
    </w:rPr>
  </w:style>
  <w:style w:type="paragraph" w:styleId="5">
    <w:name w:val="footer"/>
    <w:basedOn w:val="1"/>
    <w:link w:val="19"/>
    <w:autoRedefine/>
    <w:qFormat/>
    <w:uiPriority w:val="0"/>
    <w:pPr>
      <w:tabs>
        <w:tab w:val="center" w:pos="4153"/>
        <w:tab w:val="right" w:pos="8306"/>
      </w:tabs>
      <w:snapToGrid w:val="0"/>
      <w:jc w:val="left"/>
    </w:pPr>
    <w:rPr>
      <w:sz w:val="18"/>
      <w:szCs w:val="18"/>
    </w:rPr>
  </w:style>
  <w:style w:type="paragraph" w:styleId="6">
    <w:name w:val="header"/>
    <w:basedOn w:val="1"/>
    <w:link w:val="18"/>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6"/>
    <w:autoRedefine/>
    <w:qFormat/>
    <w:uiPriority w:val="0"/>
    <w:rPr>
      <w:b/>
      <w:bCs/>
    </w:rPr>
  </w:style>
  <w:style w:type="character" w:styleId="11">
    <w:name w:val="Emphasis"/>
    <w:basedOn w:val="10"/>
    <w:autoRedefine/>
    <w:qFormat/>
    <w:uiPriority w:val="0"/>
    <w:rPr>
      <w:i/>
    </w:rPr>
  </w:style>
  <w:style w:type="character" w:styleId="12">
    <w:name w:val="Hyperlink"/>
    <w:basedOn w:val="10"/>
    <w:autoRedefine/>
    <w:unhideWhenUsed/>
    <w:qFormat/>
    <w:uiPriority w:val="99"/>
    <w:rPr>
      <w:color w:val="0000FF"/>
      <w:u w:val="single"/>
    </w:rPr>
  </w:style>
  <w:style w:type="character" w:styleId="13">
    <w:name w:val="annotation reference"/>
    <w:basedOn w:val="10"/>
    <w:autoRedefine/>
    <w:qFormat/>
    <w:uiPriority w:val="0"/>
    <w:rPr>
      <w:sz w:val="21"/>
      <w:szCs w:val="21"/>
    </w:rPr>
  </w:style>
  <w:style w:type="character" w:customStyle="1" w:styleId="14">
    <w:name w:val="批注框文本 字符"/>
    <w:basedOn w:val="10"/>
    <w:link w:val="4"/>
    <w:autoRedefine/>
    <w:qFormat/>
    <w:uiPriority w:val="0"/>
    <w:rPr>
      <w:kern w:val="2"/>
      <w:sz w:val="18"/>
      <w:szCs w:val="18"/>
    </w:rPr>
  </w:style>
  <w:style w:type="character" w:customStyle="1" w:styleId="15">
    <w:name w:val="批注文字 字符"/>
    <w:basedOn w:val="10"/>
    <w:link w:val="3"/>
    <w:autoRedefine/>
    <w:qFormat/>
    <w:uiPriority w:val="0"/>
    <w:rPr>
      <w:kern w:val="2"/>
      <w:sz w:val="21"/>
      <w:szCs w:val="22"/>
    </w:rPr>
  </w:style>
  <w:style w:type="character" w:customStyle="1" w:styleId="16">
    <w:name w:val="批注主题 字符"/>
    <w:basedOn w:val="15"/>
    <w:link w:val="8"/>
    <w:autoRedefine/>
    <w:qFormat/>
    <w:uiPriority w:val="0"/>
    <w:rPr>
      <w:b/>
      <w:bCs/>
      <w:kern w:val="2"/>
      <w:sz w:val="21"/>
      <w:szCs w:val="22"/>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19">
    <w:name w:val="页脚 字符"/>
    <w:basedOn w:val="10"/>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533</Words>
  <Characters>621</Characters>
  <Lines>13</Lines>
  <Paragraphs>3</Paragraphs>
  <TotalTime>5</TotalTime>
  <ScaleCrop>false</ScaleCrop>
  <LinksUpToDate>false</LinksUpToDate>
  <CharactersWithSpaces>733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2024-03-29T09:53:00Z</dcterms:created>
  <dc:creator>季灵杰</dc:creator>
  <cp:lastModifiedBy>Luke</cp:lastModifiedBy>
  <dcterms:modified xsi:type="dcterms:W3CDTF">2025-10-29T08:13:09Z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94F4416C96874465BD84645D9B68762D_13</vt:lpwstr>
  </property>
  <property fmtid="{D5CDD505-2E9C-101B-9397-08002B2CF9AE}" pid="4" name="KSOTemplateDocerSaveRecord">
    <vt:lpwstr>eyJoZGlkIjoiN2YzNjBkOTgyNWQ1YTMxYzM3MzMwNWFiODNmOWIzYWMiLCJ1c2VySWQiOiIyOTU1MDc2NzMifQ==</vt:lpwstr>
  </property>
</Properties>
</file>