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94C8A">
      <w:pPr>
        <w:snapToGrid w:val="0"/>
        <w:spacing w:before="156" w:beforeLines="50" w:after="156" w:afterLines="50" w:line="240" w:lineRule="atLeas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证券简称：麒麟信安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证券代码：6</w:t>
      </w:r>
      <w:r>
        <w:rPr>
          <w:rFonts w:ascii="宋体" w:hAnsi="宋体" w:eastAsia="宋体" w:cs="Times New Roman"/>
          <w:b/>
          <w:bCs/>
          <w:color w:val="000000"/>
          <w:sz w:val="24"/>
          <w:szCs w:val="24"/>
        </w:rPr>
        <w:t>88152</w:t>
      </w:r>
    </w:p>
    <w:p w14:paraId="7AEA5B4E">
      <w:pPr>
        <w:snapToGrid w:val="0"/>
        <w:spacing w:before="468" w:beforeLines="150" w:after="156" w:afterLines="50" w:line="240" w:lineRule="atLeast"/>
        <w:ind w:firstLine="602" w:firstLineChars="200"/>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湖南麒麟信安科技股份有限公司投资者关系活动记录表</w:t>
      </w:r>
    </w:p>
    <w:p w14:paraId="52414F73">
      <w:pPr>
        <w:snapToGrid w:val="0"/>
        <w:spacing w:before="156" w:beforeLines="50" w:after="156" w:afterLines="50"/>
        <w:ind w:firstLine="482" w:firstLineChars="200"/>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（2</w:t>
      </w:r>
      <w:r>
        <w:rPr>
          <w:rFonts w:ascii="宋体" w:hAnsi="宋体" w:eastAsia="宋体" w:cs="Times New Roman"/>
          <w:b/>
          <w:bCs/>
          <w:color w:val="000000"/>
          <w:sz w:val="24"/>
          <w:szCs w:val="24"/>
        </w:rPr>
        <w:t>02</w:t>
      </w:r>
      <w:r>
        <w:rPr>
          <w:rFonts w:hint="eastAsia" w:ascii="宋体" w:hAnsi="宋体" w:eastAsia="宋体" w:cs="Times New Roman"/>
          <w:b/>
          <w:bCs/>
          <w:color w:val="000000"/>
          <w:sz w:val="24"/>
          <w:szCs w:val="24"/>
        </w:rPr>
        <w:t>5年</w:t>
      </w:r>
      <w:r>
        <w:rPr>
          <w:rFonts w:hint="eastAsia" w:ascii="宋体" w:hAnsi="宋体" w:eastAsia="宋体" w:cs="Times New Roman"/>
          <w:b/>
          <w:bCs/>
          <w:color w:val="000000"/>
          <w:sz w:val="24"/>
          <w:szCs w:val="24"/>
          <w:lang w:val="en-US" w:eastAsia="zh-CN"/>
        </w:rPr>
        <w:t>10</w:t>
      </w:r>
      <w:r>
        <w:rPr>
          <w:rFonts w:hint="eastAsia" w:ascii="宋体" w:hAnsi="宋体" w:eastAsia="宋体" w:cs="Times New Roman"/>
          <w:b/>
          <w:bCs/>
          <w:color w:val="000000"/>
          <w:sz w:val="24"/>
          <w:szCs w:val="24"/>
        </w:rPr>
        <w:t>月</w:t>
      </w:r>
      <w:r>
        <w:rPr>
          <w:rFonts w:hint="eastAsia" w:ascii="宋体" w:hAnsi="宋体" w:eastAsia="宋体" w:cs="Times New Roman"/>
          <w:b/>
          <w:bCs/>
          <w:color w:val="000000"/>
          <w:sz w:val="24"/>
          <w:szCs w:val="24"/>
          <w:lang w:val="en-US" w:eastAsia="zh-CN"/>
        </w:rPr>
        <w:t>28</w:t>
      </w:r>
      <w:r>
        <w:rPr>
          <w:rFonts w:hint="eastAsia" w:ascii="宋体" w:hAnsi="宋体" w:eastAsia="宋体" w:cs="Times New Roman"/>
          <w:b/>
          <w:bCs/>
          <w:color w:val="000000"/>
          <w:sz w:val="24"/>
          <w:szCs w:val="24"/>
        </w:rPr>
        <w:t>日）</w:t>
      </w:r>
    </w:p>
    <w:p w14:paraId="2A01A29F">
      <w:pPr>
        <w:snapToGrid w:val="0"/>
        <w:spacing w:before="156" w:beforeLines="50" w:after="156" w:afterLines="50" w:line="240" w:lineRule="atLeast"/>
        <w:ind w:firstLine="420" w:firstLineChars="200"/>
        <w:jc w:val="right"/>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编号：2</w:t>
      </w:r>
      <w:r>
        <w:rPr>
          <w:rFonts w:ascii="宋体" w:hAnsi="宋体" w:eastAsia="宋体" w:cs="Times New Roman"/>
          <w:color w:val="000000"/>
          <w:szCs w:val="21"/>
        </w:rPr>
        <w:t>02</w:t>
      </w:r>
      <w:r>
        <w:rPr>
          <w:rFonts w:hint="eastAsia" w:ascii="宋体" w:hAnsi="宋体" w:eastAsia="宋体" w:cs="Times New Roman"/>
          <w:color w:val="000000"/>
          <w:szCs w:val="21"/>
        </w:rPr>
        <w:t>5</w:t>
      </w:r>
      <w:r>
        <w:rPr>
          <w:rFonts w:ascii="宋体" w:hAnsi="宋体" w:eastAsia="宋体" w:cs="Times New Roman"/>
          <w:color w:val="000000"/>
          <w:szCs w:val="21"/>
          <w:highlight w:val="none"/>
        </w:rPr>
        <w:t>-</w:t>
      </w:r>
      <w:r>
        <w:rPr>
          <w:rFonts w:hint="eastAsia" w:ascii="宋体" w:hAnsi="宋体" w:eastAsia="宋体" w:cs="Times New Roman"/>
          <w:color w:val="000000"/>
          <w:szCs w:val="21"/>
          <w:highlight w:val="none"/>
        </w:rPr>
        <w:t>00</w:t>
      </w:r>
      <w:r>
        <w:rPr>
          <w:rFonts w:hint="eastAsia" w:ascii="宋体" w:hAnsi="宋体" w:eastAsia="宋体" w:cs="Times New Roman"/>
          <w:color w:val="000000"/>
          <w:szCs w:val="21"/>
          <w:highlight w:val="none"/>
          <w:lang w:val="en-US" w:eastAsia="zh-CN"/>
        </w:rPr>
        <w:t>6</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6387"/>
      </w:tblGrid>
      <w:tr w14:paraId="2651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2" w:hRule="atLeast"/>
        </w:trPr>
        <w:tc>
          <w:tcPr>
            <w:tcW w:w="2134" w:type="dxa"/>
            <w:vAlign w:val="center"/>
          </w:tcPr>
          <w:p w14:paraId="03E3F586">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投资者关系活动类别</w:t>
            </w:r>
          </w:p>
        </w:tc>
        <w:tc>
          <w:tcPr>
            <w:tcW w:w="6387" w:type="dxa"/>
            <w:vAlign w:val="center"/>
          </w:tcPr>
          <w:p w14:paraId="2E2E71A7">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特定对象调研         □分析师会议</w:t>
            </w:r>
          </w:p>
          <w:p w14:paraId="49CE1BB8">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□媒体采访             </w:t>
            </w:r>
            <w:r>
              <w:rPr>
                <w:rFonts w:hint="eastAsia" w:ascii="宋体" w:hAnsi="宋体" w:eastAsia="宋体" w:cs="Times New Roman"/>
                <w:color w:val="000000" w:themeColor="text1"/>
                <w:kern w:val="0"/>
                <w:sz w:val="24"/>
                <w:szCs w:val="24"/>
                <w:lang w:eastAsia="zh-CN"/>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业绩说明会</w:t>
            </w:r>
          </w:p>
          <w:p w14:paraId="2EC32E45">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□新闻发布会           □路演活动</w:t>
            </w:r>
          </w:p>
          <w:p w14:paraId="47583F0C">
            <w:pPr>
              <w:snapToGrid w:val="0"/>
              <w:spacing w:before="156" w:beforeLines="50" w:after="156" w:afterLines="50" w:line="240" w:lineRule="atLeast"/>
              <w:ind w:left="3120" w:hanging="3120" w:hangingChars="1300"/>
              <w:rPr>
                <w:rFonts w:hint="eastAsia"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□现场参观             </w:t>
            </w:r>
            <w:r>
              <w:rPr>
                <w:rFonts w:hint="eastAsia" w:ascii="宋体" w:hAnsi="宋体" w:eastAsia="宋体" w:cs="Times New Roman"/>
                <w:color w:val="000000" w:themeColor="text1"/>
                <w:kern w:val="0"/>
                <w:sz w:val="24"/>
                <w:szCs w:val="24"/>
                <w:lang w:eastAsia="zh-CN"/>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其他</w:t>
            </w:r>
          </w:p>
        </w:tc>
      </w:tr>
      <w:tr w14:paraId="2ECA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4" w:type="dxa"/>
            <w:vAlign w:val="center"/>
          </w:tcPr>
          <w:p w14:paraId="603799D7">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参与单位名称</w:t>
            </w:r>
          </w:p>
        </w:tc>
        <w:tc>
          <w:tcPr>
            <w:tcW w:w="6387" w:type="dxa"/>
            <w:vAlign w:val="center"/>
          </w:tcPr>
          <w:p w14:paraId="6DEA863E">
            <w:pPr>
              <w:snapToGrid w:val="0"/>
              <w:spacing w:before="78" w:beforeLines="25" w:after="78" w:afterLines="25" w:line="240" w:lineRule="auto"/>
              <w:rPr>
                <w:rFonts w:hint="eastAsia" w:ascii="宋体" w:hAnsi="宋体" w:eastAsia="宋体" w:cs="Times New Roman"/>
                <w:color w:val="000000"/>
                <w:kern w:val="0"/>
                <w:sz w:val="24"/>
                <w:szCs w:val="24"/>
                <w:u w:val="none"/>
                <w:lang w:eastAsia="zh-CN"/>
              </w:rPr>
            </w:pPr>
            <w:r>
              <w:rPr>
                <w:rFonts w:hint="eastAsia" w:ascii="宋体" w:hAnsi="宋体" w:eastAsia="宋体" w:cs="Times New Roman"/>
                <w:color w:val="000000"/>
                <w:kern w:val="0"/>
                <w:sz w:val="24"/>
                <w:szCs w:val="24"/>
                <w:u w:val="none"/>
              </w:rPr>
              <w:t>中银基金</w:t>
            </w:r>
            <w:r>
              <w:rPr>
                <w:rFonts w:hint="eastAsia" w:ascii="宋体" w:hAnsi="宋体" w:eastAsia="宋体" w:cs="Times New Roman"/>
                <w:color w:val="000000"/>
                <w:kern w:val="0"/>
                <w:sz w:val="24"/>
                <w:szCs w:val="24"/>
                <w:u w:val="none"/>
                <w:lang w:val="en-US" w:eastAsia="zh-CN"/>
              </w:rPr>
              <w:t xml:space="preserve"> </w:t>
            </w:r>
            <w:r>
              <w:rPr>
                <w:rFonts w:hint="eastAsia" w:ascii="宋体" w:hAnsi="宋体" w:eastAsia="宋体" w:cs="Times New Roman"/>
                <w:color w:val="000000"/>
                <w:kern w:val="0"/>
                <w:sz w:val="24"/>
                <w:szCs w:val="24"/>
                <w:u w:val="none"/>
              </w:rPr>
              <w:t>中信期货</w:t>
            </w:r>
            <w:r>
              <w:rPr>
                <w:rFonts w:hint="eastAsia" w:ascii="宋体" w:hAnsi="宋体" w:eastAsia="宋体" w:cs="Times New Roman"/>
                <w:color w:val="000000"/>
                <w:kern w:val="0"/>
                <w:sz w:val="24"/>
                <w:szCs w:val="24"/>
                <w:u w:val="none"/>
                <w:lang w:val="en-US" w:eastAsia="zh-CN"/>
              </w:rPr>
              <w:t xml:space="preserve"> </w:t>
            </w:r>
            <w:r>
              <w:rPr>
                <w:rFonts w:hint="eastAsia" w:ascii="宋体" w:hAnsi="宋体" w:eastAsia="宋体" w:cs="Times New Roman"/>
                <w:color w:val="000000"/>
                <w:kern w:val="0"/>
                <w:sz w:val="24"/>
                <w:szCs w:val="24"/>
                <w:u w:val="none"/>
              </w:rPr>
              <w:t>工银瑞信基金</w:t>
            </w:r>
            <w:r>
              <w:rPr>
                <w:rFonts w:hint="eastAsia" w:ascii="宋体" w:hAnsi="宋体" w:eastAsia="宋体" w:cs="Times New Roman"/>
                <w:color w:val="000000"/>
                <w:kern w:val="0"/>
                <w:sz w:val="24"/>
                <w:szCs w:val="24"/>
                <w:u w:val="none"/>
                <w:lang w:val="en-US" w:eastAsia="zh-CN"/>
              </w:rPr>
              <w:t xml:space="preserve"> </w:t>
            </w:r>
            <w:r>
              <w:rPr>
                <w:rFonts w:hint="eastAsia" w:ascii="宋体" w:hAnsi="宋体" w:eastAsia="宋体" w:cs="Times New Roman"/>
                <w:color w:val="000000"/>
                <w:kern w:val="0"/>
                <w:sz w:val="24"/>
                <w:szCs w:val="24"/>
                <w:u w:val="none"/>
              </w:rPr>
              <w:t>长江证券</w:t>
            </w:r>
          </w:p>
          <w:p w14:paraId="1E617C1A">
            <w:pPr>
              <w:snapToGrid w:val="0"/>
              <w:spacing w:before="78" w:beforeLines="25" w:after="78" w:afterLines="25" w:line="240" w:lineRule="auto"/>
              <w:rPr>
                <w:rFonts w:hint="eastAsia" w:ascii="宋体" w:hAnsi="宋体" w:eastAsia="宋体" w:cs="Times New Roman"/>
                <w:color w:val="000000"/>
                <w:kern w:val="0"/>
                <w:sz w:val="24"/>
                <w:szCs w:val="24"/>
                <w:u w:val="none"/>
                <w:lang w:eastAsia="zh-CN"/>
              </w:rPr>
            </w:pPr>
            <w:r>
              <w:rPr>
                <w:rFonts w:hint="eastAsia" w:ascii="宋体" w:hAnsi="宋体" w:eastAsia="宋体" w:cs="Times New Roman"/>
                <w:color w:val="000000"/>
                <w:kern w:val="0"/>
                <w:sz w:val="24"/>
                <w:szCs w:val="24"/>
                <w:u w:val="none"/>
              </w:rPr>
              <w:t>中天汇富基金</w:t>
            </w:r>
            <w:r>
              <w:rPr>
                <w:rFonts w:hint="eastAsia" w:ascii="宋体" w:hAnsi="宋体" w:eastAsia="宋体" w:cs="Times New Roman"/>
                <w:color w:val="000000"/>
                <w:kern w:val="0"/>
                <w:sz w:val="24"/>
                <w:szCs w:val="24"/>
                <w:u w:val="none"/>
                <w:lang w:val="en-US" w:eastAsia="zh-CN"/>
              </w:rPr>
              <w:t xml:space="preserve"> </w:t>
            </w:r>
            <w:r>
              <w:rPr>
                <w:rFonts w:hint="eastAsia" w:ascii="宋体" w:hAnsi="宋体" w:eastAsia="宋体" w:cs="Times New Roman"/>
                <w:color w:val="000000"/>
                <w:kern w:val="0"/>
                <w:sz w:val="24"/>
                <w:szCs w:val="24"/>
                <w:u w:val="none"/>
              </w:rPr>
              <w:t>农银汇理基金</w:t>
            </w:r>
            <w:r>
              <w:rPr>
                <w:rFonts w:hint="eastAsia" w:ascii="宋体" w:hAnsi="宋体" w:eastAsia="宋体" w:cs="Times New Roman"/>
                <w:color w:val="000000"/>
                <w:kern w:val="0"/>
                <w:sz w:val="24"/>
                <w:szCs w:val="24"/>
                <w:u w:val="none"/>
                <w:lang w:val="en-US" w:eastAsia="zh-CN"/>
              </w:rPr>
              <w:t xml:space="preserve"> </w:t>
            </w:r>
            <w:r>
              <w:rPr>
                <w:rFonts w:hint="eastAsia" w:ascii="宋体" w:hAnsi="宋体" w:eastAsia="宋体" w:cs="Times New Roman"/>
                <w:color w:val="000000"/>
                <w:kern w:val="0"/>
                <w:sz w:val="24"/>
                <w:szCs w:val="24"/>
                <w:u w:val="none"/>
              </w:rPr>
              <w:t>创金合信</w:t>
            </w:r>
            <w:r>
              <w:rPr>
                <w:rFonts w:hint="eastAsia" w:ascii="宋体" w:hAnsi="宋体" w:eastAsia="宋体" w:cs="Times New Roman"/>
                <w:color w:val="000000"/>
                <w:kern w:val="0"/>
                <w:sz w:val="24"/>
                <w:szCs w:val="24"/>
                <w:u w:val="none"/>
                <w:lang w:val="en-US" w:eastAsia="zh-CN"/>
              </w:rPr>
              <w:t xml:space="preserve"> </w:t>
            </w:r>
            <w:r>
              <w:rPr>
                <w:rFonts w:hint="eastAsia" w:ascii="宋体" w:hAnsi="宋体" w:eastAsia="宋体" w:cs="Times New Roman"/>
                <w:color w:val="000000"/>
                <w:kern w:val="0"/>
                <w:sz w:val="24"/>
                <w:szCs w:val="24"/>
                <w:u w:val="none"/>
              </w:rPr>
              <w:t>广州圆石投资</w:t>
            </w:r>
          </w:p>
          <w:p w14:paraId="2EEB897C">
            <w:pPr>
              <w:snapToGrid w:val="0"/>
              <w:spacing w:before="78" w:beforeLines="25" w:after="78" w:afterLines="25" w:line="240" w:lineRule="auto"/>
              <w:rPr>
                <w:rFonts w:hint="default" w:ascii="宋体" w:hAnsi="宋体" w:eastAsia="宋体" w:cs="Times New Roman"/>
                <w:color w:val="000000"/>
                <w:kern w:val="0"/>
                <w:sz w:val="24"/>
                <w:szCs w:val="24"/>
                <w:u w:val="none"/>
                <w:lang w:val="en-US" w:eastAsia="zh-CN"/>
              </w:rPr>
            </w:pPr>
            <w:r>
              <w:rPr>
                <w:rFonts w:hint="eastAsia" w:ascii="宋体" w:hAnsi="宋体" w:eastAsia="宋体" w:cs="Times New Roman"/>
                <w:color w:val="000000"/>
                <w:kern w:val="0"/>
                <w:sz w:val="24"/>
                <w:szCs w:val="24"/>
                <w:u w:val="none"/>
              </w:rPr>
              <w:t>中海基金</w:t>
            </w:r>
            <w:r>
              <w:rPr>
                <w:rFonts w:hint="eastAsia" w:ascii="宋体" w:hAnsi="宋体" w:eastAsia="宋体" w:cs="Times New Roman"/>
                <w:color w:val="000000"/>
                <w:kern w:val="0"/>
                <w:sz w:val="24"/>
                <w:szCs w:val="24"/>
                <w:u w:val="none"/>
                <w:lang w:val="en-US" w:eastAsia="zh-CN"/>
              </w:rPr>
              <w:t>等17家机构；</w:t>
            </w:r>
          </w:p>
          <w:p w14:paraId="65F7EA57">
            <w:pPr>
              <w:snapToGrid w:val="0"/>
              <w:spacing w:before="78" w:beforeLines="25" w:after="78" w:afterLines="25" w:line="24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kern w:val="0"/>
                <w:sz w:val="24"/>
                <w:szCs w:val="24"/>
              </w:rPr>
              <w:t>参与202</w:t>
            </w:r>
            <w:r>
              <w:rPr>
                <w:rFonts w:hint="eastAsia" w:ascii="宋体" w:hAnsi="宋体" w:eastAsia="宋体" w:cs="Times New Roman"/>
                <w:color w:val="000000"/>
                <w:kern w:val="0"/>
                <w:sz w:val="24"/>
                <w:szCs w:val="24"/>
                <w:lang w:val="en-US" w:eastAsia="zh-CN"/>
              </w:rPr>
              <w:t>5年第三季度</w:t>
            </w:r>
            <w:r>
              <w:rPr>
                <w:rFonts w:hint="eastAsia" w:ascii="宋体" w:hAnsi="宋体" w:eastAsia="宋体" w:cs="Times New Roman"/>
                <w:color w:val="000000"/>
                <w:kern w:val="0"/>
                <w:sz w:val="24"/>
                <w:szCs w:val="24"/>
              </w:rPr>
              <w:t>业绩说明会的线上投资者</w:t>
            </w:r>
          </w:p>
        </w:tc>
      </w:tr>
      <w:tr w14:paraId="62EB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34" w:type="dxa"/>
            <w:vAlign w:val="center"/>
          </w:tcPr>
          <w:p w14:paraId="5AA08FB6">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会议时间</w:t>
            </w:r>
          </w:p>
        </w:tc>
        <w:tc>
          <w:tcPr>
            <w:tcW w:w="6387" w:type="dxa"/>
            <w:vAlign w:val="center"/>
          </w:tcPr>
          <w:p w14:paraId="535B6F8B">
            <w:pPr>
              <w:snapToGrid w:val="0"/>
              <w:spacing w:before="78" w:beforeLines="25" w:after="78" w:afterLines="25"/>
              <w:rPr>
                <w:rFonts w:hint="eastAsia"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2025年</w:t>
            </w:r>
            <w:r>
              <w:rPr>
                <w:rFonts w:hint="eastAsia" w:ascii="宋体" w:hAnsi="宋体" w:eastAsia="宋体" w:cs="Times New Roman"/>
                <w:color w:val="000000" w:themeColor="text1"/>
                <w:kern w:val="0"/>
                <w:sz w:val="24"/>
                <w:szCs w:val="24"/>
                <w:lang w:val="en-US" w:eastAsia="zh-CN"/>
                <w14:textFill>
                  <w14:solidFill>
                    <w14:schemeClr w14:val="tx1"/>
                  </w14:solidFill>
                </w14:textFill>
              </w:rPr>
              <w:t>10</w:t>
            </w:r>
            <w:r>
              <w:rPr>
                <w:rFonts w:hint="eastAsia" w:ascii="宋体" w:hAnsi="宋体" w:eastAsia="宋体" w:cs="Times New Roman"/>
                <w:color w:val="000000" w:themeColor="text1"/>
                <w:kern w:val="0"/>
                <w:sz w:val="24"/>
                <w:szCs w:val="24"/>
                <w14:textFill>
                  <w14:solidFill>
                    <w14:schemeClr w14:val="tx1"/>
                  </w14:solidFill>
                </w14:textFill>
              </w:rPr>
              <w:t>月</w:t>
            </w:r>
            <w:r>
              <w:rPr>
                <w:rFonts w:hint="eastAsia" w:ascii="宋体" w:hAnsi="宋体" w:eastAsia="宋体" w:cs="Times New Roman"/>
                <w:color w:val="000000" w:themeColor="text1"/>
                <w:kern w:val="0"/>
                <w:sz w:val="24"/>
                <w:szCs w:val="24"/>
                <w:lang w:val="en-US" w:eastAsia="zh-CN"/>
                <w14:textFill>
                  <w14:solidFill>
                    <w14:schemeClr w14:val="tx1"/>
                  </w14:solidFill>
                </w14:textFill>
              </w:rPr>
              <w:t>28</w:t>
            </w:r>
            <w:r>
              <w:rPr>
                <w:rFonts w:hint="eastAsia" w:ascii="宋体" w:hAnsi="宋体" w:eastAsia="宋体" w:cs="Times New Roman"/>
                <w:color w:val="000000" w:themeColor="text1"/>
                <w:kern w:val="0"/>
                <w:sz w:val="24"/>
                <w:szCs w:val="24"/>
                <w14:textFill>
                  <w14:solidFill>
                    <w14:schemeClr w14:val="tx1"/>
                  </w14:solidFill>
                </w14:textFill>
              </w:rPr>
              <w:t>日</w:t>
            </w:r>
            <w:r>
              <w:rPr>
                <w:rFonts w:hint="eastAsia" w:ascii="宋体" w:hAnsi="宋体" w:eastAsia="宋体" w:cs="Times New Roman"/>
                <w:color w:val="000000" w:themeColor="text1"/>
                <w:kern w:val="0"/>
                <w:sz w:val="24"/>
                <w:szCs w:val="24"/>
                <w:lang w:val="en-US" w:eastAsia="zh-CN"/>
                <w14:textFill>
                  <w14:solidFill>
                    <w14:schemeClr w14:val="tx1"/>
                  </w14:solidFill>
                </w14:textFill>
              </w:rPr>
              <w:t xml:space="preserve"> 11:00-12:00</w:t>
            </w:r>
          </w:p>
          <w:p w14:paraId="090B290E">
            <w:pPr>
              <w:snapToGrid w:val="0"/>
              <w:spacing w:before="78" w:beforeLines="25" w:after="78" w:afterLines="25"/>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2025年</w:t>
            </w:r>
            <w:r>
              <w:rPr>
                <w:rFonts w:hint="eastAsia" w:ascii="宋体" w:hAnsi="宋体" w:eastAsia="宋体" w:cs="Times New Roman"/>
                <w:color w:val="000000" w:themeColor="text1"/>
                <w:kern w:val="0"/>
                <w:sz w:val="24"/>
                <w:szCs w:val="24"/>
                <w:lang w:val="en-US" w:eastAsia="zh-CN"/>
                <w14:textFill>
                  <w14:solidFill>
                    <w14:schemeClr w14:val="tx1"/>
                  </w14:solidFill>
                </w14:textFill>
              </w:rPr>
              <w:t>10</w:t>
            </w:r>
            <w:r>
              <w:rPr>
                <w:rFonts w:hint="eastAsia" w:ascii="宋体" w:hAnsi="宋体" w:eastAsia="宋体" w:cs="Times New Roman"/>
                <w:color w:val="000000" w:themeColor="text1"/>
                <w:kern w:val="0"/>
                <w:sz w:val="24"/>
                <w:szCs w:val="24"/>
                <w14:textFill>
                  <w14:solidFill>
                    <w14:schemeClr w14:val="tx1"/>
                  </w14:solidFill>
                </w14:textFill>
              </w:rPr>
              <w:t>月</w:t>
            </w:r>
            <w:r>
              <w:rPr>
                <w:rFonts w:hint="eastAsia" w:ascii="宋体" w:hAnsi="宋体" w:eastAsia="宋体" w:cs="Times New Roman"/>
                <w:color w:val="000000" w:themeColor="text1"/>
                <w:kern w:val="0"/>
                <w:sz w:val="24"/>
                <w:szCs w:val="24"/>
                <w:lang w:val="en-US" w:eastAsia="zh-CN"/>
                <w14:textFill>
                  <w14:solidFill>
                    <w14:schemeClr w14:val="tx1"/>
                  </w14:solidFill>
                </w14:textFill>
              </w:rPr>
              <w:t>28</w:t>
            </w:r>
            <w:r>
              <w:rPr>
                <w:rFonts w:hint="eastAsia" w:ascii="宋体" w:hAnsi="宋体" w:eastAsia="宋体" w:cs="Times New Roman"/>
                <w:color w:val="000000" w:themeColor="text1"/>
                <w:kern w:val="0"/>
                <w:sz w:val="24"/>
                <w:szCs w:val="24"/>
                <w14:textFill>
                  <w14:solidFill>
                    <w14:schemeClr w14:val="tx1"/>
                  </w14:solidFill>
                </w14:textFill>
              </w:rPr>
              <w:t>日</w:t>
            </w:r>
            <w:r>
              <w:rPr>
                <w:rFonts w:hint="eastAsia" w:ascii="宋体" w:hAnsi="宋体" w:eastAsia="宋体" w:cs="Times New Roman"/>
                <w:color w:val="000000" w:themeColor="text1"/>
                <w:kern w:val="0"/>
                <w:sz w:val="24"/>
                <w:szCs w:val="24"/>
                <w:lang w:val="en-US" w:eastAsia="zh-CN"/>
                <w14:textFill>
                  <w14:solidFill>
                    <w14:schemeClr w14:val="tx1"/>
                  </w14:solidFill>
                </w14:textFill>
              </w:rPr>
              <w:t xml:space="preserve"> 15:00-16:00</w:t>
            </w:r>
          </w:p>
        </w:tc>
      </w:tr>
      <w:tr w14:paraId="079F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34" w:type="dxa"/>
            <w:vAlign w:val="center"/>
          </w:tcPr>
          <w:p w14:paraId="35D30BB5">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会议地点</w:t>
            </w:r>
          </w:p>
        </w:tc>
        <w:tc>
          <w:tcPr>
            <w:tcW w:w="6387" w:type="dxa"/>
            <w:vAlign w:val="center"/>
          </w:tcPr>
          <w:p w14:paraId="13ACD70B">
            <w:pPr>
              <w:snapToGrid w:val="0"/>
              <w:spacing w:before="78" w:beforeLines="25" w:after="78" w:afterLines="25"/>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线上会议</w:t>
            </w:r>
          </w:p>
          <w:p w14:paraId="3916CD38">
            <w:pPr>
              <w:snapToGrid w:val="0"/>
              <w:spacing w:before="78" w:beforeLines="25" w:after="78" w:afterLines="25"/>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上证路演中心（http://roadshow.sseinfo.com/）</w:t>
            </w:r>
          </w:p>
        </w:tc>
      </w:tr>
      <w:tr w14:paraId="2F2C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34" w:type="dxa"/>
            <w:vAlign w:val="center"/>
          </w:tcPr>
          <w:p w14:paraId="6EC49FB8">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公司接待人员</w:t>
            </w:r>
          </w:p>
        </w:tc>
        <w:tc>
          <w:tcPr>
            <w:tcW w:w="6387" w:type="dxa"/>
            <w:vAlign w:val="center"/>
          </w:tcPr>
          <w:p w14:paraId="558C7A84">
            <w:pPr>
              <w:snapToGrid w:val="0"/>
              <w:spacing w:line="276" w:lineRule="auto"/>
              <w:rPr>
                <w:rFonts w:ascii="宋体" w:hAnsi="宋体" w:eastAsia="宋体" w:cs="Times New Roman"/>
                <w:color w:val="000000"/>
                <w:kern w:val="0"/>
                <w:sz w:val="24"/>
                <w:szCs w:val="24"/>
              </w:rPr>
            </w:pPr>
            <w:r>
              <w:rPr>
                <w:rFonts w:hint="eastAsia" w:ascii="monospace" w:hAnsi="monospace" w:eastAsia="宋体" w:cs="monospace"/>
                <w:b/>
                <w:bCs/>
                <w:sz w:val="24"/>
                <w:szCs w:val="24"/>
                <w:shd w:val="clear" w:color="auto" w:fill="FFFFFF"/>
              </w:rPr>
              <w:t>业绩说明会：</w:t>
            </w:r>
          </w:p>
          <w:p w14:paraId="0944EDBA">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董事、总经理：刘文清先生</w:t>
            </w:r>
          </w:p>
          <w:p w14:paraId="3460AEE5">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董事、董事会秘书：杨子嫣女士</w:t>
            </w:r>
          </w:p>
          <w:p w14:paraId="7C22551D">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财务总监：苏海军先生</w:t>
            </w:r>
          </w:p>
          <w:p w14:paraId="6C848F6B">
            <w:pPr>
              <w:snapToGrid w:val="0"/>
              <w:spacing w:before="0" w:beforeLines="-2147483648" w:after="0" w:afterLines="-2147483648" w:line="276" w:lineRule="auto"/>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独立董事：</w:t>
            </w:r>
            <w:r>
              <w:rPr>
                <w:rFonts w:hint="eastAsia" w:ascii="宋体" w:hAnsi="宋体" w:eastAsia="宋体" w:cs="Times New Roman"/>
                <w:color w:val="000000"/>
                <w:kern w:val="0"/>
                <w:sz w:val="24"/>
                <w:szCs w:val="24"/>
                <w:lang w:val="en-US" w:eastAsia="zh-CN"/>
              </w:rPr>
              <w:t>刘宏</w:t>
            </w:r>
            <w:r>
              <w:rPr>
                <w:rFonts w:hint="eastAsia" w:ascii="宋体" w:hAnsi="宋体" w:eastAsia="宋体" w:cs="Times New Roman"/>
                <w:color w:val="000000"/>
                <w:kern w:val="0"/>
                <w:sz w:val="24"/>
                <w:szCs w:val="24"/>
              </w:rPr>
              <w:t>先生</w:t>
            </w:r>
          </w:p>
          <w:p w14:paraId="3235A1B5">
            <w:pPr>
              <w:snapToGrid w:val="0"/>
              <w:spacing w:before="0" w:beforeLines="-2147483648" w:after="0" w:afterLines="-2147483648" w:line="276" w:lineRule="auto"/>
              <w:rPr>
                <w:rFonts w:hint="eastAsia" w:ascii="宋体" w:hAnsi="宋体" w:eastAsia="宋体" w:cs="Times New Roman"/>
                <w:color w:val="000000"/>
                <w:kern w:val="0"/>
                <w:sz w:val="24"/>
                <w:szCs w:val="24"/>
              </w:rPr>
            </w:pPr>
          </w:p>
          <w:p w14:paraId="56F7816C">
            <w:pPr>
              <w:snapToGrid w:val="0"/>
              <w:spacing w:before="0" w:beforeLines="-2147483648" w:after="0" w:afterLines="-2147483648" w:line="276" w:lineRule="auto"/>
              <w:rPr>
                <w:rFonts w:hint="eastAsia" w:ascii="宋体" w:hAnsi="宋体" w:eastAsia="宋体" w:cs="Times New Roman"/>
                <w:b/>
                <w:bCs/>
                <w:color w:val="000000"/>
                <w:kern w:val="0"/>
                <w:sz w:val="24"/>
                <w:szCs w:val="24"/>
              </w:rPr>
            </w:pPr>
            <w:r>
              <w:rPr>
                <w:rFonts w:hint="default" w:ascii="宋体" w:hAnsi="宋体" w:eastAsia="宋体" w:cs="Times New Roman"/>
                <w:b/>
                <w:bCs/>
                <w:color w:val="000000"/>
                <w:kern w:val="0"/>
                <w:sz w:val="24"/>
                <w:szCs w:val="24"/>
                <w:lang w:val="en-US"/>
              </w:rPr>
              <w:t>机构交流会</w:t>
            </w:r>
            <w:r>
              <w:rPr>
                <w:rFonts w:hint="eastAsia" w:ascii="宋体" w:hAnsi="宋体" w:eastAsia="宋体" w:cs="Times New Roman"/>
                <w:b/>
                <w:bCs/>
                <w:color w:val="000000"/>
                <w:kern w:val="0"/>
                <w:sz w:val="24"/>
                <w:szCs w:val="24"/>
              </w:rPr>
              <w:t>：</w:t>
            </w:r>
          </w:p>
          <w:p w14:paraId="5AF97E7A">
            <w:pPr>
              <w:snapToGrid w:val="0"/>
              <w:spacing w:before="0" w:beforeLines="-2147483648" w:after="0" w:afterLines="-2147483648" w:line="276" w:lineRule="auto"/>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董事、董事会秘书：杨子嫣女士</w:t>
            </w:r>
          </w:p>
          <w:p w14:paraId="6524D3DA">
            <w:pPr>
              <w:snapToGrid w:val="0"/>
              <w:spacing w:before="0" w:beforeLines="-2147483648" w:after="0" w:afterLines="-2147483648" w:line="276" w:lineRule="auto"/>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证券事务代表：王磊女士</w:t>
            </w:r>
          </w:p>
        </w:tc>
      </w:tr>
      <w:tr w14:paraId="6837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4" w:type="dxa"/>
            <w:vAlign w:val="center"/>
          </w:tcPr>
          <w:p w14:paraId="35970286">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1CB21DC1">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2FC289E">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50D22523">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6E849AED">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006D595">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88D5B24">
            <w:pPr>
              <w:snapToGrid w:val="0"/>
              <w:spacing w:before="156" w:beforeLines="50" w:after="156" w:afterLines="50" w:line="240" w:lineRule="atLeast"/>
              <w:rPr>
                <w:rFonts w:ascii="宋体" w:hAnsi="宋体" w:eastAsia="宋体" w:cs="Times New Roman"/>
                <w:b/>
                <w:bCs/>
                <w:color w:val="000000" w:themeColor="text1"/>
                <w:kern w:val="0"/>
                <w:sz w:val="24"/>
                <w:szCs w:val="24"/>
                <w14:textFill>
                  <w14:solidFill>
                    <w14:schemeClr w14:val="tx1"/>
                  </w14:solidFill>
                </w14:textFill>
              </w:rPr>
            </w:pPr>
          </w:p>
          <w:p w14:paraId="137A59CC">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投资者关系活动主要内容介绍</w:t>
            </w:r>
          </w:p>
        </w:tc>
        <w:tc>
          <w:tcPr>
            <w:tcW w:w="6387" w:type="dxa"/>
            <w:vAlign w:val="center"/>
          </w:tcPr>
          <w:p w14:paraId="71BC9319">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9"/>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问题1：请问公司今年业务拓展情况？</w:t>
            </w:r>
          </w:p>
          <w:p w14:paraId="7B106D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b/>
                <w:bCs/>
                <w:color w:val="000000"/>
                <w:kern w:val="0"/>
                <w:sz w:val="24"/>
                <w:szCs w:val="24"/>
                <w:highlight w:val="none"/>
                <w:lang w:val="en-US" w:eastAsia="zh-CN" w:bidi="ar"/>
              </w:rPr>
              <w:t>回复：</w:t>
            </w:r>
            <w:r>
              <w:rPr>
                <w:rFonts w:hint="eastAsia" w:ascii="宋体" w:hAnsi="宋体" w:eastAsia="宋体" w:cs="宋体"/>
                <w:b w:val="0"/>
                <w:bCs w:val="0"/>
                <w:color w:val="000000"/>
                <w:kern w:val="0"/>
                <w:sz w:val="24"/>
                <w:szCs w:val="24"/>
                <w:highlight w:val="none"/>
                <w:lang w:val="en-US" w:eastAsia="zh-CN" w:bidi="ar"/>
              </w:rPr>
              <w:t>报告期内，</w:t>
            </w:r>
            <w:r>
              <w:rPr>
                <w:rFonts w:hint="eastAsia" w:ascii="宋体" w:hAnsi="宋体" w:eastAsia="宋体" w:cs="宋体"/>
                <w:color w:val="000000"/>
                <w:kern w:val="0"/>
                <w:sz w:val="24"/>
                <w:szCs w:val="24"/>
                <w:highlight w:val="none"/>
                <w:lang w:val="en-US" w:eastAsia="zh-CN" w:bidi="ar"/>
              </w:rPr>
              <w:t>随着信创产业深化落地与各行业数字化转型加速推进，公司一方面持续加大研发投入，面向用户需求不断推进操作系统、云计算及信息安全等核心产品的创新迭代，同时也在深入探索工业领域操作系统以及操作系统与AI融合发展的创新方向；另一方面，</w:t>
            </w:r>
            <w:r>
              <w:rPr>
                <w:rFonts w:hint="eastAsia" w:ascii="宋体" w:hAnsi="宋体" w:eastAsia="宋体" w:cs="宋体"/>
                <w:color w:val="000000"/>
                <w:kern w:val="0"/>
                <w:sz w:val="24"/>
                <w:szCs w:val="24"/>
                <w:highlight w:val="none"/>
                <w:lang w:bidi="ar"/>
              </w:rPr>
              <w:t>公司以“巩固核心优势领域+开拓多元新兴市场”为双轮驱动，借力信创产业深化与行业数字化转型机遇，实现</w:t>
            </w:r>
            <w:r>
              <w:rPr>
                <w:rFonts w:hint="eastAsia" w:ascii="宋体" w:hAnsi="宋体" w:eastAsia="宋体" w:cs="宋体"/>
                <w:color w:val="000000"/>
                <w:kern w:val="0"/>
                <w:sz w:val="24"/>
                <w:szCs w:val="24"/>
                <w:highlight w:val="none"/>
                <w:lang w:eastAsia="zh-CN" w:bidi="ar"/>
              </w:rPr>
              <w:t>了</w:t>
            </w:r>
            <w:r>
              <w:rPr>
                <w:rFonts w:hint="eastAsia" w:ascii="宋体" w:hAnsi="宋体" w:eastAsia="宋体" w:cs="宋体"/>
                <w:color w:val="000000"/>
                <w:kern w:val="0"/>
                <w:sz w:val="24"/>
                <w:szCs w:val="24"/>
                <w:highlight w:val="none"/>
                <w:lang w:bidi="ar"/>
              </w:rPr>
              <w:t>业务</w:t>
            </w:r>
            <w:r>
              <w:rPr>
                <w:rFonts w:hint="eastAsia" w:ascii="宋体" w:hAnsi="宋体" w:eastAsia="宋体" w:cs="宋体"/>
                <w:color w:val="000000"/>
                <w:kern w:val="0"/>
                <w:sz w:val="24"/>
                <w:szCs w:val="24"/>
                <w:highlight w:val="none"/>
                <w:lang w:val="en-US" w:eastAsia="zh-CN" w:bidi="ar"/>
              </w:rPr>
              <w:t>的</w:t>
            </w:r>
            <w:r>
              <w:rPr>
                <w:rFonts w:hint="eastAsia" w:ascii="宋体" w:hAnsi="宋体" w:eastAsia="宋体" w:cs="宋体"/>
                <w:color w:val="000000"/>
                <w:kern w:val="0"/>
                <w:sz w:val="24"/>
                <w:szCs w:val="24"/>
                <w:highlight w:val="none"/>
                <w:lang w:bidi="ar"/>
              </w:rPr>
              <w:t>稳步拓展与市场布局</w:t>
            </w:r>
            <w:r>
              <w:rPr>
                <w:rFonts w:hint="eastAsia" w:ascii="宋体" w:hAnsi="宋体" w:eastAsia="宋体" w:cs="宋体"/>
                <w:color w:val="000000"/>
                <w:kern w:val="0"/>
                <w:sz w:val="24"/>
                <w:szCs w:val="24"/>
                <w:highlight w:val="none"/>
                <w:lang w:val="en-US" w:eastAsia="zh-CN" w:bidi="ar"/>
              </w:rPr>
              <w:t>的</w:t>
            </w:r>
            <w:r>
              <w:rPr>
                <w:rFonts w:hint="eastAsia" w:ascii="宋体" w:hAnsi="宋体" w:eastAsia="宋体" w:cs="宋体"/>
                <w:color w:val="000000"/>
                <w:kern w:val="0"/>
                <w:sz w:val="24"/>
                <w:szCs w:val="24"/>
                <w:highlight w:val="none"/>
                <w:lang w:bidi="ar"/>
              </w:rPr>
              <w:t>持续完善，业务拓展</w:t>
            </w:r>
            <w:r>
              <w:rPr>
                <w:rFonts w:hint="eastAsia" w:ascii="宋体" w:hAnsi="宋体" w:eastAsia="宋体" w:cs="宋体"/>
                <w:color w:val="000000"/>
                <w:kern w:val="0"/>
                <w:sz w:val="24"/>
                <w:szCs w:val="24"/>
                <w:highlight w:val="none"/>
                <w:lang w:val="en-US" w:eastAsia="zh-CN" w:bidi="ar"/>
              </w:rPr>
              <w:t>取得</w:t>
            </w:r>
            <w:r>
              <w:rPr>
                <w:rFonts w:hint="eastAsia" w:ascii="宋体" w:hAnsi="宋体" w:eastAsia="宋体" w:cs="宋体"/>
                <w:color w:val="000000"/>
                <w:kern w:val="0"/>
                <w:sz w:val="24"/>
                <w:szCs w:val="24"/>
                <w:highlight w:val="none"/>
                <w:lang w:bidi="ar"/>
              </w:rPr>
              <w:t>多点突破。</w:t>
            </w:r>
          </w:p>
          <w:p w14:paraId="197A1E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在核心业务深耕上，公司聚焦电力行业新型电力系统建设以及特种行业核心场景国产化需求，以场景化解决方案深化行业渗透，推动了这两大核心领域的业务实现稳步增长</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今年以来，公司相继中标浙江、沈阳、朝阳、抚顺、营口、大连等多地的新一代调度系统建设配套云桌面项目以及南网、国网集采等操作系统项目，目前公司核心产品已覆盖电力数字化办公以及发电、变电、输电、配电、用电、储能等关键领域</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随着</w:t>
            </w:r>
            <w:r>
              <w:rPr>
                <w:rFonts w:hint="eastAsia" w:ascii="宋体" w:hAnsi="宋体" w:eastAsia="宋体" w:cs="宋体"/>
                <w:color w:val="000000"/>
                <w:kern w:val="0"/>
                <w:sz w:val="24"/>
                <w:szCs w:val="24"/>
                <w:highlight w:val="none"/>
                <w:lang w:val="en-US" w:eastAsia="zh-CN" w:bidi="ar"/>
              </w:rPr>
              <w:t>特种行业</w:t>
            </w:r>
            <w:r>
              <w:rPr>
                <w:rFonts w:hint="eastAsia" w:ascii="宋体" w:hAnsi="宋体" w:eastAsia="宋体" w:cs="宋体"/>
                <w:color w:val="000000"/>
                <w:kern w:val="0"/>
                <w:sz w:val="24"/>
                <w:szCs w:val="24"/>
                <w:highlight w:val="none"/>
                <w:lang w:bidi="ar"/>
              </w:rPr>
              <w:t>信息系统国产化进程深化，公司产品及解决方案持续获得</w:t>
            </w:r>
            <w:r>
              <w:rPr>
                <w:rFonts w:hint="eastAsia" w:ascii="宋体" w:hAnsi="宋体" w:eastAsia="宋体" w:cs="宋体"/>
                <w:color w:val="000000"/>
                <w:kern w:val="0"/>
                <w:sz w:val="24"/>
                <w:szCs w:val="24"/>
                <w:highlight w:val="none"/>
                <w:lang w:val="en-US" w:eastAsia="zh-CN" w:bidi="ar"/>
              </w:rPr>
              <w:t>特种行业客户的</w:t>
            </w:r>
            <w:r>
              <w:rPr>
                <w:rFonts w:hint="eastAsia" w:ascii="宋体" w:hAnsi="宋体" w:eastAsia="宋体" w:cs="宋体"/>
                <w:color w:val="000000"/>
                <w:kern w:val="0"/>
                <w:sz w:val="24"/>
                <w:szCs w:val="24"/>
                <w:highlight w:val="none"/>
                <w:lang w:bidi="ar"/>
              </w:rPr>
              <w:t>广泛认可</w:t>
            </w:r>
            <w:r>
              <w:rPr>
                <w:rFonts w:hint="eastAsia" w:ascii="宋体" w:hAnsi="宋体" w:eastAsia="宋体" w:cs="宋体"/>
                <w:color w:val="000000"/>
                <w:kern w:val="0"/>
                <w:sz w:val="24"/>
                <w:szCs w:val="24"/>
                <w:highlight w:val="none"/>
                <w:lang w:eastAsia="zh-CN" w:bidi="ar"/>
              </w:rPr>
              <w:t>。</w:t>
            </w:r>
          </w:p>
          <w:p w14:paraId="7D53B4D3">
            <w:pPr>
              <w:keepNext w:val="0"/>
              <w:keepLines w:val="0"/>
              <w:pageBreakBefore w:val="0"/>
              <w:numPr>
                <w:ilvl w:val="0"/>
                <w:numId w:val="0"/>
              </w:numPr>
              <w:kinsoku/>
              <w:wordWrap/>
              <w:overflowPunct/>
              <w:topLinePunct w:val="0"/>
              <w:autoSpaceDE/>
              <w:autoSpaceDN/>
              <w:bidi w:val="0"/>
              <w:adjustRightInd/>
              <w:snapToGrid/>
              <w:spacing w:before="0" w:beforeLines="-2147483648" w:after="0" w:afterLines="-2147483648" w:line="240" w:lineRule="auto"/>
              <w:ind w:firstLine="480" w:firstLineChars="200"/>
              <w:textAlignment w:val="auto"/>
              <w:outlineLvl w:val="9"/>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与此同时，公司继续紧抓行业信创发展和数字化转型的市场机遇，不断加大在金融、能源、运营商、政务、交通、教育及医疗等多个应用领域的市场拓展。</w:t>
            </w:r>
            <w:r>
              <w:rPr>
                <w:rFonts w:hint="eastAsia" w:ascii="宋体" w:hAnsi="宋体" w:eastAsia="宋体" w:cs="宋体"/>
                <w:color w:val="000000"/>
                <w:kern w:val="0"/>
                <w:sz w:val="24"/>
                <w:szCs w:val="24"/>
                <w:highlight w:val="none"/>
                <w:lang w:bidi="ar"/>
              </w:rPr>
              <w:t>今年以来公司</w:t>
            </w:r>
            <w:r>
              <w:rPr>
                <w:rFonts w:hint="eastAsia" w:ascii="宋体" w:hAnsi="宋体" w:eastAsia="宋体" w:cs="宋体"/>
                <w:color w:val="000000"/>
                <w:kern w:val="0"/>
                <w:sz w:val="24"/>
                <w:szCs w:val="24"/>
                <w:highlight w:val="none"/>
                <w:lang w:val="en-US" w:eastAsia="zh-CN" w:bidi="ar"/>
              </w:rPr>
              <w:t>已</w:t>
            </w:r>
            <w:r>
              <w:rPr>
                <w:rFonts w:hint="eastAsia" w:ascii="宋体" w:hAnsi="宋体" w:eastAsia="宋体" w:cs="宋体"/>
                <w:color w:val="000000"/>
                <w:kern w:val="0"/>
                <w:sz w:val="24"/>
                <w:szCs w:val="24"/>
                <w:highlight w:val="none"/>
                <w:lang w:bidi="ar"/>
              </w:rPr>
              <w:t>先后中标山东、河北、重庆</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江苏</w:t>
            </w:r>
            <w:r>
              <w:rPr>
                <w:rFonts w:hint="eastAsia" w:ascii="宋体" w:hAnsi="宋体" w:eastAsia="宋体" w:cs="宋体"/>
                <w:color w:val="000000"/>
                <w:kern w:val="0"/>
                <w:sz w:val="24"/>
                <w:szCs w:val="24"/>
                <w:highlight w:val="none"/>
                <w:lang w:bidi="ar"/>
              </w:rPr>
              <w:t>等地“国货国用”操作系统框采项目，在公安、司法及政务平台打造典型案例；新增国家管网、中核集团等</w:t>
            </w:r>
            <w:r>
              <w:rPr>
                <w:rFonts w:hint="eastAsia" w:ascii="宋体" w:hAnsi="宋体" w:eastAsia="宋体" w:cs="宋体"/>
                <w:color w:val="000000"/>
                <w:kern w:val="0"/>
                <w:sz w:val="24"/>
                <w:szCs w:val="24"/>
                <w:highlight w:val="none"/>
                <w:lang w:val="en-US" w:eastAsia="zh-CN" w:bidi="ar"/>
              </w:rPr>
              <w:t>大型</w:t>
            </w:r>
            <w:r>
              <w:rPr>
                <w:rFonts w:hint="eastAsia" w:ascii="宋体" w:hAnsi="宋体" w:eastAsia="宋体" w:cs="宋体"/>
                <w:color w:val="000000"/>
                <w:kern w:val="0"/>
                <w:sz w:val="24"/>
                <w:szCs w:val="24"/>
                <w:highlight w:val="none"/>
                <w:lang w:bidi="ar"/>
              </w:rPr>
              <w:t>央国企</w:t>
            </w:r>
            <w:r>
              <w:rPr>
                <w:rFonts w:hint="eastAsia" w:ascii="宋体" w:hAnsi="宋体" w:eastAsia="宋体" w:cs="宋体"/>
                <w:color w:val="000000"/>
                <w:kern w:val="0"/>
                <w:sz w:val="24"/>
                <w:szCs w:val="24"/>
                <w:highlight w:val="none"/>
                <w:lang w:val="en-US" w:eastAsia="zh-CN" w:bidi="ar"/>
              </w:rPr>
              <w:t>行业</w:t>
            </w:r>
            <w:r>
              <w:rPr>
                <w:rFonts w:hint="eastAsia" w:ascii="宋体" w:hAnsi="宋体" w:eastAsia="宋体" w:cs="宋体"/>
                <w:color w:val="000000"/>
                <w:kern w:val="0"/>
                <w:sz w:val="24"/>
                <w:szCs w:val="24"/>
                <w:highlight w:val="none"/>
                <w:lang w:bidi="ar"/>
              </w:rPr>
              <w:t>客户，</w:t>
            </w:r>
            <w:r>
              <w:rPr>
                <w:rFonts w:hint="eastAsia" w:ascii="宋体" w:hAnsi="宋体" w:eastAsia="宋体" w:cs="宋体"/>
                <w:color w:val="000000"/>
                <w:kern w:val="0"/>
                <w:sz w:val="24"/>
                <w:szCs w:val="24"/>
                <w:highlight w:val="none"/>
                <w:lang w:val="en-US" w:eastAsia="zh-CN" w:bidi="ar"/>
              </w:rPr>
              <w:t>同时还</w:t>
            </w:r>
            <w:r>
              <w:rPr>
                <w:rFonts w:hint="eastAsia" w:ascii="宋体" w:hAnsi="宋体" w:eastAsia="宋体" w:cs="宋体"/>
                <w:color w:val="000000"/>
                <w:kern w:val="0"/>
                <w:sz w:val="24"/>
                <w:szCs w:val="24"/>
                <w:highlight w:val="none"/>
                <w:lang w:bidi="ar"/>
              </w:rPr>
              <w:t>中标多地学校智慧校园云机房、医院云桌面项目，以及中泰证券、</w:t>
            </w:r>
            <w:r>
              <w:rPr>
                <w:rFonts w:hint="eastAsia" w:ascii="宋体" w:hAnsi="宋体" w:eastAsia="宋体" w:cs="宋体"/>
                <w:color w:val="000000"/>
                <w:kern w:val="0"/>
                <w:sz w:val="24"/>
                <w:szCs w:val="24"/>
                <w:highlight w:val="none"/>
                <w:lang w:val="en-US" w:eastAsia="zh-CN" w:bidi="ar"/>
              </w:rPr>
              <w:t>湖南银行、长沙银行</w:t>
            </w:r>
            <w:r>
              <w:rPr>
                <w:rFonts w:hint="eastAsia" w:ascii="宋体" w:hAnsi="宋体" w:eastAsia="宋体" w:cs="宋体"/>
                <w:color w:val="000000"/>
                <w:kern w:val="0"/>
                <w:sz w:val="24"/>
                <w:szCs w:val="24"/>
                <w:highlight w:val="none"/>
                <w:lang w:bidi="ar"/>
              </w:rPr>
              <w:t>等金融机构的操作系统迁移及云桌面项目</w:t>
            </w:r>
            <w:r>
              <w:rPr>
                <w:rFonts w:hint="eastAsia" w:ascii="宋体" w:hAnsi="宋体" w:eastAsia="宋体" w:cs="宋体"/>
                <w:color w:val="000000"/>
                <w:kern w:val="0"/>
                <w:sz w:val="24"/>
                <w:szCs w:val="24"/>
                <w:highlight w:val="none"/>
                <w:lang w:val="en-US" w:eastAsia="zh-CN" w:bidi="ar"/>
              </w:rPr>
              <w:t>等等</w:t>
            </w:r>
            <w:r>
              <w:rPr>
                <w:rFonts w:hint="eastAsia" w:ascii="宋体" w:hAnsi="宋体" w:eastAsia="宋体" w:cs="宋体"/>
                <w:color w:val="000000"/>
                <w:kern w:val="0"/>
                <w:sz w:val="24"/>
                <w:szCs w:val="24"/>
                <w:highlight w:val="none"/>
                <w:lang w:bidi="ar"/>
              </w:rPr>
              <w:t>。</w:t>
            </w:r>
          </w:p>
          <w:p w14:paraId="3D61BE8E">
            <w:pPr>
              <w:keepNext w:val="0"/>
              <w:keepLines w:val="0"/>
              <w:pageBreakBefore w:val="0"/>
              <w:numPr>
                <w:ilvl w:val="0"/>
                <w:numId w:val="0"/>
              </w:numPr>
              <w:kinsoku/>
              <w:wordWrap/>
              <w:overflowPunct/>
              <w:topLinePunct w:val="0"/>
              <w:autoSpaceDE/>
              <w:autoSpaceDN/>
              <w:bidi w:val="0"/>
              <w:adjustRightInd/>
              <w:snapToGrid/>
              <w:spacing w:before="0" w:beforeLines="-2147483648" w:after="0" w:afterLines="-2147483648" w:line="240" w:lineRule="auto"/>
              <w:ind w:firstLine="480" w:firstLineChars="200"/>
              <w:textAlignment w:val="auto"/>
              <w:outlineLvl w:val="9"/>
              <w:rPr>
                <w:rFonts w:hint="eastAsia" w:ascii="宋体" w:hAnsi="宋体" w:eastAsia="宋体" w:cs="宋体"/>
                <w:b w:val="0"/>
                <w:bCs w:val="0"/>
                <w:color w:val="000000"/>
                <w:kern w:val="0"/>
                <w:sz w:val="24"/>
                <w:szCs w:val="24"/>
                <w:highlight w:val="none"/>
                <w:lang w:eastAsia="zh-CN" w:bidi="ar"/>
              </w:rPr>
            </w:pPr>
            <w:r>
              <w:rPr>
                <w:rFonts w:hint="eastAsia" w:ascii="宋体" w:hAnsi="宋体" w:eastAsia="宋体" w:cs="宋体"/>
                <w:color w:val="000000"/>
                <w:kern w:val="0"/>
                <w:sz w:val="24"/>
                <w:szCs w:val="24"/>
                <w:highlight w:val="none"/>
                <w:lang w:val="en-US" w:eastAsia="zh-CN" w:bidi="ar"/>
              </w:rPr>
              <w:t>后续</w:t>
            </w:r>
            <w:r>
              <w:rPr>
                <w:rFonts w:hint="eastAsia" w:ascii="宋体" w:hAnsi="宋体" w:eastAsia="宋体" w:cs="宋体"/>
                <w:color w:val="000000"/>
                <w:kern w:val="0"/>
                <w:sz w:val="24"/>
                <w:szCs w:val="24"/>
                <w:highlight w:val="none"/>
                <w:lang w:bidi="ar"/>
              </w:rPr>
              <w:t>，公司将继续聚焦核心</w:t>
            </w:r>
            <w:r>
              <w:rPr>
                <w:rFonts w:hint="eastAsia" w:ascii="宋体" w:hAnsi="宋体" w:eastAsia="宋体" w:cs="宋体"/>
                <w:color w:val="000000"/>
                <w:kern w:val="0"/>
                <w:sz w:val="24"/>
                <w:szCs w:val="24"/>
                <w:highlight w:val="none"/>
                <w:lang w:val="en-US" w:eastAsia="zh-CN" w:bidi="ar"/>
              </w:rPr>
              <w:t>产品的</w:t>
            </w:r>
            <w:r>
              <w:rPr>
                <w:rFonts w:hint="eastAsia" w:ascii="宋体" w:hAnsi="宋体" w:eastAsia="宋体" w:cs="宋体"/>
                <w:color w:val="000000"/>
                <w:kern w:val="0"/>
                <w:sz w:val="24"/>
                <w:szCs w:val="24"/>
                <w:highlight w:val="none"/>
                <w:lang w:bidi="ar"/>
              </w:rPr>
              <w:t>技术创新，深化与各行业的融合应用，进一步夯实市场竞争力，</w:t>
            </w:r>
            <w:r>
              <w:rPr>
                <w:rFonts w:hint="eastAsia" w:ascii="宋体" w:hAnsi="宋体" w:eastAsia="宋体" w:cs="宋体"/>
                <w:color w:val="000000"/>
                <w:kern w:val="0"/>
                <w:sz w:val="24"/>
                <w:szCs w:val="24"/>
                <w:highlight w:val="none"/>
                <w:lang w:val="en-US" w:eastAsia="zh-CN" w:bidi="ar"/>
              </w:rPr>
              <w:t>助力公司</w:t>
            </w:r>
            <w:r>
              <w:rPr>
                <w:rFonts w:hint="eastAsia" w:ascii="宋体" w:hAnsi="宋体" w:eastAsia="宋体" w:cs="宋体"/>
                <w:color w:val="000000"/>
                <w:kern w:val="0"/>
                <w:sz w:val="24"/>
                <w:szCs w:val="24"/>
                <w:highlight w:val="none"/>
                <w:lang w:bidi="ar"/>
              </w:rPr>
              <w:t>可持续发展</w:t>
            </w:r>
            <w:r>
              <w:rPr>
                <w:rFonts w:hint="eastAsia" w:ascii="宋体" w:hAnsi="宋体" w:eastAsia="宋体" w:cs="宋体"/>
                <w:b w:val="0"/>
                <w:bCs w:val="0"/>
                <w:color w:val="000000"/>
                <w:kern w:val="0"/>
                <w:sz w:val="24"/>
                <w:szCs w:val="24"/>
                <w:highlight w:val="none"/>
                <w:lang w:eastAsia="zh-CN" w:bidi="ar"/>
              </w:rPr>
              <w:t>。</w:t>
            </w:r>
          </w:p>
          <w:p w14:paraId="5FCF68D2">
            <w:pPr>
              <w:keepNext w:val="0"/>
              <w:keepLines w:val="0"/>
              <w:pageBreakBefore w:val="0"/>
              <w:numPr>
                <w:ilvl w:val="0"/>
                <w:numId w:val="0"/>
              </w:numPr>
              <w:kinsoku/>
              <w:wordWrap/>
              <w:overflowPunct/>
              <w:topLinePunct w:val="0"/>
              <w:autoSpaceDE/>
              <w:autoSpaceDN/>
              <w:bidi w:val="0"/>
              <w:adjustRightInd/>
              <w:snapToGrid/>
              <w:spacing w:before="0" w:beforeLines="-2147483648" w:after="0" w:afterLines="-2147483648" w:line="240" w:lineRule="auto"/>
              <w:ind w:firstLine="480" w:firstLineChars="200"/>
              <w:textAlignment w:val="auto"/>
              <w:outlineLvl w:val="9"/>
              <w:rPr>
                <w:rFonts w:hint="eastAsia" w:ascii="宋体" w:hAnsi="宋体" w:eastAsia="宋体" w:cs="宋体"/>
                <w:b w:val="0"/>
                <w:bCs w:val="0"/>
                <w:color w:val="000000"/>
                <w:kern w:val="0"/>
                <w:sz w:val="24"/>
                <w:szCs w:val="24"/>
                <w:highlight w:val="none"/>
                <w:lang w:val="en-US" w:eastAsia="zh-CN" w:bidi="ar"/>
              </w:rPr>
            </w:pPr>
          </w:p>
          <w:p w14:paraId="1E482C02">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9"/>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问题2：请问公司操作系统产品在工业领域的发展情况？</w:t>
            </w:r>
          </w:p>
          <w:p w14:paraId="60E07F18">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Times New Roman"/>
                <w:kern w:val="0"/>
                <w:sz w:val="24"/>
                <w:szCs w:val="24"/>
              </w:rPr>
            </w:pPr>
            <w:r>
              <w:rPr>
                <w:rFonts w:hint="eastAsia" w:ascii="宋体" w:hAnsi="宋体" w:eastAsia="宋体" w:cs="宋体"/>
                <w:b/>
                <w:bCs/>
                <w:color w:val="000000"/>
                <w:kern w:val="0"/>
                <w:sz w:val="24"/>
                <w:szCs w:val="24"/>
                <w:highlight w:val="none"/>
                <w:lang w:val="en-US" w:eastAsia="zh-CN" w:bidi="ar"/>
              </w:rPr>
              <w:t>回复：</w:t>
            </w:r>
            <w:r>
              <w:rPr>
                <w:rFonts w:hint="eastAsia" w:ascii="宋体" w:hAnsi="宋体" w:eastAsia="宋体" w:cs="Times New Roman"/>
                <w:kern w:val="0"/>
                <w:sz w:val="24"/>
                <w:szCs w:val="24"/>
              </w:rPr>
              <w:t>2024年9月工信部发布《工业重点行业领域设备更新和技术改造指南》，明确到2027年需完成</w:t>
            </w:r>
            <w:r>
              <w:rPr>
                <w:rFonts w:ascii="宋体" w:hAnsi="宋体" w:eastAsia="宋体" w:cs="Times New Roman"/>
                <w:kern w:val="0"/>
                <w:sz w:val="24"/>
                <w:szCs w:val="24"/>
              </w:rPr>
              <w:t>约200万套工业软件和80万台套工业操作系统更新换代任务</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这一目标体现了国家对工业</w:t>
            </w:r>
            <w:r>
              <w:rPr>
                <w:rFonts w:hint="eastAsia" w:ascii="宋体" w:hAnsi="宋体" w:eastAsia="宋体" w:cs="Times New Roman"/>
                <w:kern w:val="0"/>
                <w:sz w:val="24"/>
                <w:szCs w:val="24"/>
                <w:lang w:val="en-US" w:eastAsia="zh-CN"/>
              </w:rPr>
              <w:t>领域</w:t>
            </w:r>
            <w:r>
              <w:rPr>
                <w:rFonts w:hint="eastAsia" w:ascii="宋体" w:hAnsi="宋体" w:eastAsia="宋体" w:cs="Times New Roman"/>
                <w:kern w:val="0"/>
                <w:sz w:val="24"/>
                <w:szCs w:val="24"/>
              </w:rPr>
              <w:t>操作系统重要性的高度认可，工业领域正朝着数字化、智能化方向快速发展，大量的工业设备需要连接网络和进行数据交互，这对操作系统的实时性、安全性、可靠性以及对新型工业协议的集成和适配能力提出了更高要求。而公司产品在强实时调度、全链路安全防护等方面的技术积累，与政策导向及行业需求高度契合，具备广阔的市场拓展基础。</w:t>
            </w:r>
          </w:p>
          <w:p w14:paraId="0534BB4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公司持续创新工业服务器操作系统产品在仿真计算、板级设计、工业数据管理、智能制造辅助等工业应用场景的生态拓展，并通过融合</w:t>
            </w:r>
            <w:r>
              <w:rPr>
                <w:rFonts w:ascii="宋体" w:hAnsi="宋体" w:eastAsia="宋体" w:cs="Times New Roman"/>
                <w:kern w:val="0"/>
                <w:sz w:val="24"/>
                <w:szCs w:val="24"/>
              </w:rPr>
              <w:t>AI技术</w:t>
            </w:r>
            <w:r>
              <w:rPr>
                <w:rFonts w:hint="eastAsia" w:ascii="宋体" w:hAnsi="宋体" w:eastAsia="宋体" w:cs="Times New Roman"/>
                <w:kern w:val="0"/>
                <w:sz w:val="24"/>
                <w:szCs w:val="24"/>
              </w:rPr>
              <w:t>，实现了对系统运行时各数据指标的实时监控与智能分析，支持动态优化资源调度策略，有效降低了生产过程中的资源损耗并能够提升系统整体效能</w:t>
            </w:r>
            <w:r>
              <w:rPr>
                <w:rFonts w:ascii="宋体" w:hAnsi="宋体" w:eastAsia="宋体" w:cs="Times New Roman"/>
                <w:kern w:val="0"/>
                <w:sz w:val="24"/>
                <w:szCs w:val="24"/>
              </w:rPr>
              <w:t>。</w:t>
            </w:r>
          </w:p>
          <w:p w14:paraId="7B0A37E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同时</w:t>
            </w:r>
            <w:r>
              <w:rPr>
                <w:rFonts w:hint="eastAsia" w:ascii="宋体" w:hAnsi="宋体" w:eastAsia="宋体" w:cs="Times New Roman"/>
                <w:kern w:val="0"/>
                <w:sz w:val="24"/>
                <w:szCs w:val="24"/>
              </w:rPr>
              <w:t>，麒麟信安嵌入式操作系统在工业自动化领域得到应用，在电力智能监控系统便携式运维网关中大规模部署，提高了电力系统的运维效率和可靠性，为电力行业的发展和安全提供了有力支持。此外，还可用于工控设备、机器人及自动化生产线等场景，为工业自动化的安全发展提供安全性、实时性、可靠性和高效性能的支撑。</w:t>
            </w:r>
          </w:p>
          <w:p w14:paraId="4810BE1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目前，公司操作系统已深度适配多款工业软件与国产GPU，</w:t>
            </w:r>
            <w:r>
              <w:rPr>
                <w:rFonts w:hint="eastAsia" w:ascii="宋体" w:hAnsi="宋体" w:eastAsia="宋体" w:cs="Times New Roman"/>
                <w:kern w:val="0"/>
                <w:sz w:val="24"/>
                <w:szCs w:val="24"/>
                <w:lang w:val="en-US" w:eastAsia="zh-CN"/>
              </w:rPr>
              <w:t>逐步</w:t>
            </w:r>
            <w:r>
              <w:rPr>
                <w:rFonts w:hint="eastAsia" w:ascii="宋体" w:hAnsi="宋体" w:eastAsia="宋体" w:cs="Times New Roman"/>
                <w:kern w:val="0"/>
                <w:sz w:val="24"/>
                <w:szCs w:val="24"/>
              </w:rPr>
              <w:t>构建起了工业自主创新生态体系</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公司依托电力行业技术积累向全工业领域拓展，今年重点聚焦在像工业控制、智能制造及高端装备生产等场景，围绕工业设计、仿真等工业软件生态建设和业务场景性能优化阶段，其中在汽车制造工业仿真领域成果显著</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针对显式动力学碰撞仿真、整车结构分析、压铸工艺模拟及电池散热仿真等关键需求，对服务器操作系统进行底层内核调度优化和实时性增强，可稳定支撑7×24小时连续高负载仿真计算，显著提升工业场景下的系统运行效能</w:t>
            </w:r>
            <w:r>
              <w:rPr>
                <w:rFonts w:hint="eastAsia" w:ascii="宋体" w:hAnsi="宋体" w:eastAsia="宋体" w:cs="Times New Roman"/>
                <w:kern w:val="0"/>
                <w:sz w:val="24"/>
                <w:szCs w:val="24"/>
                <w:lang w:eastAsia="zh-CN"/>
              </w:rPr>
              <w:t>。</w:t>
            </w:r>
          </w:p>
          <w:p w14:paraId="6196D15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后续公司将紧抓工业领域</w:t>
            </w:r>
            <w:r>
              <w:rPr>
                <w:rFonts w:hint="eastAsia" w:ascii="宋体" w:hAnsi="宋体" w:eastAsia="宋体" w:cs="Times New Roman"/>
                <w:kern w:val="0"/>
                <w:sz w:val="24"/>
                <w:szCs w:val="24"/>
                <w:lang w:val="en-US" w:eastAsia="zh-CN"/>
              </w:rPr>
              <w:t>更新换代及</w:t>
            </w:r>
            <w:r>
              <w:rPr>
                <w:rFonts w:hint="eastAsia" w:ascii="宋体" w:hAnsi="宋体" w:eastAsia="宋体" w:cs="Times New Roman"/>
                <w:kern w:val="0"/>
                <w:sz w:val="24"/>
                <w:szCs w:val="24"/>
              </w:rPr>
              <w:t>信创需求，</w:t>
            </w:r>
            <w:r>
              <w:rPr>
                <w:rFonts w:hint="eastAsia" w:ascii="宋体" w:hAnsi="宋体" w:eastAsia="宋体" w:cs="Times New Roman"/>
                <w:kern w:val="0"/>
                <w:sz w:val="24"/>
                <w:szCs w:val="24"/>
                <w:lang w:val="en-US" w:eastAsia="zh-CN"/>
              </w:rPr>
              <w:t>持续</w:t>
            </w:r>
            <w:r>
              <w:rPr>
                <w:rFonts w:hint="eastAsia" w:ascii="宋体" w:hAnsi="宋体" w:eastAsia="宋体" w:cs="Times New Roman"/>
                <w:kern w:val="0"/>
                <w:sz w:val="24"/>
                <w:szCs w:val="24"/>
              </w:rPr>
              <w:t>深化</w:t>
            </w:r>
            <w:r>
              <w:rPr>
                <w:rFonts w:hint="eastAsia" w:ascii="宋体" w:hAnsi="宋体" w:eastAsia="宋体" w:cs="Times New Roman"/>
                <w:kern w:val="0"/>
                <w:sz w:val="24"/>
                <w:szCs w:val="24"/>
                <w:lang w:val="en-US" w:eastAsia="zh-CN"/>
              </w:rPr>
              <w:t>在工业领域操作系统的研发创新</w:t>
            </w:r>
            <w:r>
              <w:rPr>
                <w:rFonts w:hint="eastAsia" w:ascii="宋体" w:hAnsi="宋体" w:eastAsia="宋体" w:cs="Times New Roman"/>
                <w:kern w:val="0"/>
                <w:sz w:val="24"/>
                <w:szCs w:val="24"/>
              </w:rPr>
              <w:t>与生态协同，进一步扩大</w:t>
            </w:r>
            <w:r>
              <w:rPr>
                <w:rFonts w:hint="eastAsia" w:ascii="宋体" w:hAnsi="宋体" w:eastAsia="宋体" w:cs="Times New Roman"/>
                <w:kern w:val="0"/>
                <w:sz w:val="24"/>
                <w:szCs w:val="24"/>
                <w:lang w:val="en-US" w:eastAsia="zh-CN"/>
              </w:rPr>
              <w:t>公司产品在</w:t>
            </w:r>
            <w:r>
              <w:rPr>
                <w:rFonts w:hint="eastAsia" w:ascii="宋体" w:hAnsi="宋体" w:eastAsia="宋体" w:cs="Times New Roman"/>
                <w:kern w:val="0"/>
                <w:sz w:val="24"/>
                <w:szCs w:val="24"/>
              </w:rPr>
              <w:t>工业领域</w:t>
            </w:r>
            <w:r>
              <w:rPr>
                <w:rFonts w:hint="eastAsia" w:ascii="宋体" w:hAnsi="宋体" w:eastAsia="宋体" w:cs="Times New Roman"/>
                <w:kern w:val="0"/>
                <w:sz w:val="24"/>
                <w:szCs w:val="24"/>
                <w:lang w:val="en-US" w:eastAsia="zh-CN"/>
              </w:rPr>
              <w:t>的</w:t>
            </w:r>
            <w:r>
              <w:rPr>
                <w:rFonts w:hint="eastAsia" w:ascii="宋体" w:hAnsi="宋体" w:eastAsia="宋体" w:cs="Times New Roman"/>
                <w:kern w:val="0"/>
                <w:sz w:val="24"/>
                <w:szCs w:val="24"/>
              </w:rPr>
              <w:t>市场覆盖</w:t>
            </w:r>
            <w:r>
              <w:rPr>
                <w:rFonts w:hint="eastAsia" w:ascii="宋体" w:hAnsi="宋体" w:eastAsia="宋体" w:cs="Times New Roman"/>
                <w:kern w:val="0"/>
                <w:sz w:val="24"/>
                <w:szCs w:val="24"/>
                <w:lang w:val="en-US" w:eastAsia="zh-CN"/>
              </w:rPr>
              <w:t>面</w:t>
            </w:r>
            <w:r>
              <w:rPr>
                <w:rFonts w:hint="eastAsia" w:ascii="宋体" w:hAnsi="宋体" w:eastAsia="宋体" w:cs="Times New Roman"/>
                <w:kern w:val="0"/>
                <w:sz w:val="24"/>
                <w:szCs w:val="24"/>
              </w:rPr>
              <w:t>。</w:t>
            </w:r>
          </w:p>
          <w:p w14:paraId="57990B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
              </w:rPr>
            </w:pPr>
          </w:p>
          <w:p w14:paraId="116C02FC">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9"/>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问题3：三季报显示，公司前三季度营收同比增长6.06%，但销售费用大幅增长了43.61%。请问管理层，如何评估当前市场拓展的投入产出效率？对于销售费用的快速增长，公司是否有具体的管控措施或优化目标？</w:t>
            </w:r>
          </w:p>
          <w:p w14:paraId="618B0D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b/>
                <w:bCs/>
                <w:kern w:val="0"/>
                <w:sz w:val="24"/>
                <w:szCs w:val="24"/>
                <w:lang w:val="en-US" w:eastAsia="zh-CN" w:bidi="ar-SA"/>
              </w:rPr>
              <w:t>回复：</w:t>
            </w:r>
            <w:r>
              <w:rPr>
                <w:rFonts w:hint="eastAsia" w:ascii="宋体" w:hAnsi="宋体" w:eastAsia="宋体" w:cs="Times New Roman"/>
                <w:kern w:val="0"/>
                <w:sz w:val="24"/>
                <w:szCs w:val="24"/>
                <w:lang w:val="en-US" w:eastAsia="zh-CN" w:bidi="ar-SA"/>
              </w:rPr>
              <w:t>报告期内，公司销售费用的增长主要系来源于营销服务团队规模的扩大，以及股权激励计划带来的股份支付费用的增加。今年以来，公司紧抓信创建设和行业数字化转型发展机遇，加大了在区域营销和行业渠道体系建设方面的投入，在重庆、新疆、广西等地新设子公司，并新增了一批本地化及富有行业经验的销售专家，这些前期投入对于公司业务拓展新的行业客户、覆盖新的区域是必要的，有利于推动公司业务规模的增长。后续公司会继续对销售团队及各地分子公司实行严格的绩效考核机制，提升运营效率和公司的盈利能力。</w:t>
            </w:r>
          </w:p>
          <w:p w14:paraId="4FE7F4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
              </w:rPr>
            </w:pPr>
          </w:p>
          <w:p w14:paraId="3F2AD69C">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9"/>
              <w:rPr>
                <w:rFonts w:hint="eastAsia" w:ascii="宋体" w:hAnsi="宋体" w:eastAsia="宋体" w:cs="Times New Roman"/>
                <w:b/>
                <w:bCs/>
                <w:kern w:val="0"/>
                <w:sz w:val="24"/>
                <w:szCs w:val="24"/>
                <w:lang w:val="en-US" w:eastAsia="zh-CN" w:bidi="ar-SA"/>
              </w:rPr>
            </w:pPr>
            <w:r>
              <w:rPr>
                <w:rFonts w:hint="eastAsia" w:ascii="宋体" w:hAnsi="宋体" w:eastAsia="宋体" w:cs="宋体"/>
                <w:b/>
                <w:bCs/>
                <w:color w:val="000000"/>
                <w:kern w:val="0"/>
                <w:sz w:val="24"/>
                <w:szCs w:val="24"/>
                <w:highlight w:val="none"/>
                <w:lang w:val="en-US" w:eastAsia="zh-CN" w:bidi="ar"/>
              </w:rPr>
              <w:t>问题4：报告期内，公司扣除非经常性损益的净利润亏损有所扩大。同时，利润在一定程度上依赖政府补助等非经常性收益。请问公司对提升主营业务自身的盈利能力有何具体规划？预计哪些措施能最先在财报中见到效果？</w:t>
            </w:r>
          </w:p>
          <w:p w14:paraId="5FE664A5">
            <w:pPr>
              <w:keepNext w:val="0"/>
              <w:keepLines w:val="0"/>
              <w:pageBreakBefore w:val="0"/>
              <w:numPr>
                <w:ilvl w:val="0"/>
                <w:numId w:val="0"/>
              </w:numPr>
              <w:kinsoku/>
              <w:wordWrap/>
              <w:overflowPunct/>
              <w:topLinePunct w:val="0"/>
              <w:autoSpaceDE/>
              <w:autoSpaceDN/>
              <w:bidi w:val="0"/>
              <w:adjustRightInd/>
              <w:snapToGrid/>
              <w:spacing w:before="0" w:beforeLines="-2147483648" w:after="0" w:afterLines="-2147483648" w:line="240" w:lineRule="auto"/>
              <w:ind w:firstLine="482" w:firstLineChars="200"/>
              <w:textAlignment w:val="auto"/>
              <w:outlineLvl w:val="9"/>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Times New Roman"/>
                <w:b/>
                <w:bCs/>
                <w:kern w:val="0"/>
                <w:sz w:val="24"/>
                <w:szCs w:val="24"/>
                <w:lang w:val="en-US" w:eastAsia="zh-CN" w:bidi="ar-SA"/>
              </w:rPr>
              <w:t>回复</w:t>
            </w:r>
            <w:r>
              <w:rPr>
                <w:rFonts w:hint="eastAsia" w:ascii="宋体" w:hAnsi="宋体" w:eastAsia="宋体" w:cs="宋体"/>
                <w:b/>
                <w:bCs/>
                <w:color w:val="000000"/>
                <w:kern w:val="0"/>
                <w:sz w:val="24"/>
                <w:szCs w:val="24"/>
                <w:highlight w:val="none"/>
                <w:lang w:val="en-US" w:eastAsia="zh-CN" w:bidi="ar"/>
              </w:rPr>
              <w:t>：</w:t>
            </w:r>
            <w:r>
              <w:rPr>
                <w:rFonts w:hint="eastAsia" w:ascii="宋体" w:hAnsi="宋体" w:eastAsia="宋体" w:cs="宋体"/>
                <w:b w:val="0"/>
                <w:bCs w:val="0"/>
                <w:color w:val="000000"/>
                <w:kern w:val="0"/>
                <w:sz w:val="24"/>
                <w:szCs w:val="24"/>
                <w:highlight w:val="none"/>
                <w:lang w:val="en-US" w:eastAsia="zh-CN" w:bidi="ar"/>
              </w:rPr>
              <w:t>2025年前三季度，公司归母净利润亏损同比收窄，扣除股份支付影响后已实现扭亏为盈；扣非净利润同比亏损扩大，主要系今年以来公司加大了营销拓展投入，并围绕行业技术发展和产业布局持续加大研发投入，同时股份支付费用同比增加所致。此外，公司收入存在较为明显的季节性特征，受到项目交付周期的影响，前三季度收入规模尚未完全体现，随着项目逐步推进验收，公司报表盈利能力将进一步显现。后续，公司将持续强化战略规划与执行，在持续推进技术研发与产品创新的基础上，进一步强化内部成本管控与运营效率提升，并通过完善应收账款管理机制加快资金周转，多维度增强主营业务盈利能力。</w:t>
            </w:r>
          </w:p>
          <w:p w14:paraId="6FCB26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000000"/>
                <w:kern w:val="0"/>
                <w:sz w:val="24"/>
                <w:szCs w:val="24"/>
                <w:highlight w:val="none"/>
                <w:lang w:val="en-US" w:eastAsia="zh-CN" w:bidi="ar"/>
              </w:rPr>
            </w:pPr>
          </w:p>
          <w:p w14:paraId="5B385EB0">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9"/>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5：我们注意到，公司前三季度存货余额较年初增长了54.73%，同时应收账款周转率处于较低水平。请问这些变动主要是由于备货策略调整、项目交付周期还是其他原因？公司打算如何优化营运资金管理，以防范相关风险并提升资产使用效率？</w:t>
            </w:r>
          </w:p>
          <w:p w14:paraId="1994B6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回复：</w:t>
            </w:r>
            <w:r>
              <w:rPr>
                <w:rFonts w:hint="eastAsia" w:ascii="宋体" w:hAnsi="宋体" w:eastAsia="宋体" w:cs="宋体"/>
                <w:b w:val="0"/>
                <w:bCs w:val="0"/>
                <w:color w:val="000000"/>
                <w:kern w:val="0"/>
                <w:sz w:val="24"/>
                <w:szCs w:val="24"/>
                <w:highlight w:val="none"/>
                <w:lang w:val="en-US" w:eastAsia="zh-CN" w:bidi="ar"/>
              </w:rPr>
              <w:t>今年前三季度存货余额增长较快主要系用于发出商品金额增长较快。今年以来，随着公司的软硬一体产品及集成项目订单增长，公司向客户交付的发出商品金额随之增长，但项目验收需要一定周期，导致存货余额增长较快。2025年是“十四五”收官之年，随着项目逐步验收预计相关情况将随之改善。公司已经制定了《应收账款管理办法》等管理要求并严格执行，同时和下游客户加强沟通推动项目验收及应收账款的回收，并在必要时通过法律手段保障权益，防范资金管理风险并提升资金效率，目前公司资金储备及流动性情况整体良好，不会影响经营管理和业务开展。</w:t>
            </w:r>
          </w:p>
          <w:p w14:paraId="3DEB21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000000"/>
                <w:kern w:val="0"/>
                <w:sz w:val="24"/>
                <w:szCs w:val="24"/>
                <w:highlight w:val="none"/>
                <w:lang w:val="en-US" w:eastAsia="zh-CN" w:bidi="ar"/>
              </w:rPr>
            </w:pPr>
          </w:p>
          <w:p w14:paraId="2B1620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000000"/>
                <w:kern w:val="0"/>
                <w:sz w:val="24"/>
                <w:szCs w:val="24"/>
                <w:highlight w:val="none"/>
                <w:lang w:val="en-US" w:eastAsia="zh-CN" w:bidi="ar"/>
              </w:rPr>
            </w:pPr>
          </w:p>
          <w:p w14:paraId="0A4CF0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000000"/>
                <w:kern w:val="0"/>
                <w:sz w:val="24"/>
                <w:szCs w:val="24"/>
                <w:highlight w:val="none"/>
                <w:lang w:val="en-US" w:eastAsia="zh-CN" w:bidi="ar"/>
              </w:rPr>
            </w:pPr>
          </w:p>
          <w:p w14:paraId="51758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000000"/>
                <w:kern w:val="0"/>
                <w:sz w:val="24"/>
                <w:szCs w:val="24"/>
                <w:highlight w:val="none"/>
                <w:lang w:val="en-US" w:eastAsia="zh-CN" w:bidi="ar"/>
              </w:rPr>
            </w:pPr>
            <w:bookmarkStart w:id="0" w:name="_GoBack"/>
            <w:bookmarkEnd w:id="0"/>
          </w:p>
          <w:p w14:paraId="5E7758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b w:val="0"/>
                <w:bCs w:val="0"/>
                <w:color w:val="000000"/>
                <w:kern w:val="0"/>
                <w:sz w:val="24"/>
                <w:szCs w:val="24"/>
                <w:highlight w:val="none"/>
                <w:lang w:val="en-US" w:eastAsia="zh-CN" w:bidi="ar"/>
              </w:rPr>
            </w:pPr>
          </w:p>
        </w:tc>
      </w:tr>
      <w:tr w14:paraId="522B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vAlign w:val="center"/>
          </w:tcPr>
          <w:p w14:paraId="6BCF6ABC">
            <w:pPr>
              <w:snapToGrid w:val="0"/>
              <w:spacing w:before="156" w:beforeLines="50" w:after="156" w:afterLines="50" w:line="240" w:lineRule="atLeast"/>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p>
        </w:tc>
        <w:tc>
          <w:tcPr>
            <w:tcW w:w="6387" w:type="dxa"/>
            <w:vAlign w:val="center"/>
          </w:tcPr>
          <w:p w14:paraId="2B0A747E">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无</w:t>
            </w:r>
          </w:p>
        </w:tc>
      </w:tr>
    </w:tbl>
    <w:p w14:paraId="2EB7950E"/>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lMGZjMTE1OTA3MDIyYTJiMjA4Mzc2NWUwYjg5ZGYifQ=="/>
  </w:docVars>
  <w:rsids>
    <w:rsidRoot w:val="00173CCC"/>
    <w:rsid w:val="000A0163"/>
    <w:rsid w:val="000B5501"/>
    <w:rsid w:val="00173CCC"/>
    <w:rsid w:val="00585B6D"/>
    <w:rsid w:val="008B1A8D"/>
    <w:rsid w:val="00A13A40"/>
    <w:rsid w:val="00B22BC6"/>
    <w:rsid w:val="00C5411B"/>
    <w:rsid w:val="00D02523"/>
    <w:rsid w:val="00E42E18"/>
    <w:rsid w:val="00F376CF"/>
    <w:rsid w:val="02AD41BE"/>
    <w:rsid w:val="037F384C"/>
    <w:rsid w:val="06075020"/>
    <w:rsid w:val="070B6B66"/>
    <w:rsid w:val="072E241B"/>
    <w:rsid w:val="0DDB7591"/>
    <w:rsid w:val="0DE675E6"/>
    <w:rsid w:val="13530D75"/>
    <w:rsid w:val="141A7089"/>
    <w:rsid w:val="157E0E4B"/>
    <w:rsid w:val="1681299E"/>
    <w:rsid w:val="182365F5"/>
    <w:rsid w:val="18D4565B"/>
    <w:rsid w:val="1A7F6865"/>
    <w:rsid w:val="1AB175CD"/>
    <w:rsid w:val="1C781CF2"/>
    <w:rsid w:val="1E0C3498"/>
    <w:rsid w:val="20E54D00"/>
    <w:rsid w:val="20F9530E"/>
    <w:rsid w:val="21AB0397"/>
    <w:rsid w:val="23116E55"/>
    <w:rsid w:val="23B9013C"/>
    <w:rsid w:val="25FE1CD7"/>
    <w:rsid w:val="26A12196"/>
    <w:rsid w:val="27A71389"/>
    <w:rsid w:val="29445189"/>
    <w:rsid w:val="2B667F60"/>
    <w:rsid w:val="2ECE56A3"/>
    <w:rsid w:val="31572824"/>
    <w:rsid w:val="35F83418"/>
    <w:rsid w:val="36CC15BF"/>
    <w:rsid w:val="376D427E"/>
    <w:rsid w:val="377F3C80"/>
    <w:rsid w:val="3AF10618"/>
    <w:rsid w:val="3D580050"/>
    <w:rsid w:val="3D6F7148"/>
    <w:rsid w:val="3EC251B0"/>
    <w:rsid w:val="3F6A0B96"/>
    <w:rsid w:val="4024246B"/>
    <w:rsid w:val="417168B8"/>
    <w:rsid w:val="419D24D5"/>
    <w:rsid w:val="440D58A6"/>
    <w:rsid w:val="44325F1E"/>
    <w:rsid w:val="45FF375F"/>
    <w:rsid w:val="4B955209"/>
    <w:rsid w:val="4BE75683"/>
    <w:rsid w:val="4F38383D"/>
    <w:rsid w:val="5133685B"/>
    <w:rsid w:val="52174373"/>
    <w:rsid w:val="55E41D29"/>
    <w:rsid w:val="58553A82"/>
    <w:rsid w:val="5B8A7E0B"/>
    <w:rsid w:val="5F125F0A"/>
    <w:rsid w:val="60395557"/>
    <w:rsid w:val="60D657EB"/>
    <w:rsid w:val="62B45AC3"/>
    <w:rsid w:val="637A2C3D"/>
    <w:rsid w:val="63DD2D30"/>
    <w:rsid w:val="649966D5"/>
    <w:rsid w:val="65711400"/>
    <w:rsid w:val="6688771A"/>
    <w:rsid w:val="67242BCD"/>
    <w:rsid w:val="684749DC"/>
    <w:rsid w:val="685B3FBE"/>
    <w:rsid w:val="68A035E6"/>
    <w:rsid w:val="690732F3"/>
    <w:rsid w:val="693C4046"/>
    <w:rsid w:val="6F2C3FAA"/>
    <w:rsid w:val="713821C1"/>
    <w:rsid w:val="71EF742C"/>
    <w:rsid w:val="727B1B10"/>
    <w:rsid w:val="73E95F5D"/>
    <w:rsid w:val="7441660B"/>
    <w:rsid w:val="744228E5"/>
    <w:rsid w:val="74BB4393"/>
    <w:rsid w:val="77804A8F"/>
    <w:rsid w:val="79256331"/>
    <w:rsid w:val="798B0171"/>
    <w:rsid w:val="7C4F2043"/>
    <w:rsid w:val="7C5C1516"/>
    <w:rsid w:val="7E103E89"/>
    <w:rsid w:val="7F280929"/>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autoRedefine/>
    <w:qFormat/>
    <w:uiPriority w:val="9"/>
    <w:pPr>
      <w:spacing w:before="50" w:beforeLines="50" w:after="50" w:afterLines="50"/>
      <w:ind w:firstLine="482" w:firstLineChars="200"/>
      <w:jc w:val="left"/>
      <w:outlineLvl w:val="0"/>
    </w:pPr>
    <w:rPr>
      <w:rFonts w:hint="eastAsia" w:ascii="宋体" w:hAnsi="宋体" w:eastAsia="宋体" w:cs="Times New Roman"/>
      <w:b/>
      <w:bCs/>
      <w:kern w:val="44"/>
      <w:sz w:val="24"/>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40" w:after="40" w:line="360" w:lineRule="auto"/>
      <w:outlineLvl w:val="2"/>
    </w:pPr>
    <w:rPr>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unhideWhenUsed/>
    <w:qFormat/>
    <w:uiPriority w:val="99"/>
    <w:pPr>
      <w:jc w:val="left"/>
    </w:pPr>
  </w:style>
  <w:style w:type="paragraph" w:styleId="6">
    <w:name w:val="footer"/>
    <w:basedOn w:val="1"/>
    <w:link w:val="19"/>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autoRedefine/>
    <w:unhideWhenUsed/>
    <w:qFormat/>
    <w:uiPriority w:val="99"/>
    <w:pPr>
      <w:spacing w:beforeAutospacing="1" w:afterAutospacing="1"/>
      <w:jc w:val="left"/>
    </w:pPr>
    <w:rPr>
      <w:rFonts w:cs="Times New Roman"/>
      <w:kern w:val="0"/>
      <w:sz w:val="24"/>
    </w:rPr>
  </w:style>
  <w:style w:type="paragraph" w:styleId="10">
    <w:name w:val="annotation subject"/>
    <w:basedOn w:val="5"/>
    <w:next w:val="5"/>
    <w:link w:val="22"/>
    <w:autoRedefine/>
    <w:unhideWhenUsed/>
    <w:qFormat/>
    <w:uiPriority w:val="99"/>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3"/>
    <w:autoRedefine/>
    <w:unhideWhenUsed/>
    <w:qFormat/>
    <w:uiPriority w:val="99"/>
    <w:rPr>
      <w:sz w:val="21"/>
      <w:szCs w:val="21"/>
    </w:rPr>
  </w:style>
  <w:style w:type="paragraph" w:customStyle="1" w:styleId="17">
    <w:name w:val="列表段落1"/>
    <w:basedOn w:val="1"/>
    <w:autoRedefine/>
    <w:qFormat/>
    <w:uiPriority w:val="34"/>
    <w:pPr>
      <w:ind w:firstLine="420" w:firstLineChars="200"/>
    </w:pPr>
  </w:style>
  <w:style w:type="character" w:customStyle="1" w:styleId="18">
    <w:name w:val="页眉 字符"/>
    <w:basedOn w:val="13"/>
    <w:link w:val="7"/>
    <w:autoRedefine/>
    <w:qFormat/>
    <w:uiPriority w:val="99"/>
    <w:rPr>
      <w:sz w:val="18"/>
      <w:szCs w:val="18"/>
    </w:rPr>
  </w:style>
  <w:style w:type="character" w:customStyle="1" w:styleId="19">
    <w:name w:val="页脚 字符"/>
    <w:basedOn w:val="13"/>
    <w:link w:val="6"/>
    <w:autoRedefine/>
    <w:qFormat/>
    <w:uiPriority w:val="99"/>
    <w:rPr>
      <w:sz w:val="18"/>
      <w:szCs w:val="18"/>
    </w:rPr>
  </w:style>
  <w:style w:type="paragraph" w:customStyle="1" w:styleId="20">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3"/>
    <w:link w:val="5"/>
    <w:autoRedefine/>
    <w:qFormat/>
    <w:uiPriority w:val="99"/>
  </w:style>
  <w:style w:type="character" w:customStyle="1" w:styleId="22">
    <w:name w:val="批注主题 字符"/>
    <w:basedOn w:val="21"/>
    <w:link w:val="10"/>
    <w:autoRedefine/>
    <w:semiHidden/>
    <w:qFormat/>
    <w:uiPriority w:val="99"/>
    <w:rPr>
      <w:b/>
      <w:bCs/>
    </w:rPr>
  </w:style>
  <w:style w:type="paragraph" w:customStyle="1" w:styleId="2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标题 1 字符"/>
    <w:link w:val="2"/>
    <w:autoRedefine/>
    <w:qFormat/>
    <w:uiPriority w:val="9"/>
    <w:rPr>
      <w:rFonts w:hint="eastAsia" w:ascii="宋体" w:hAnsi="宋体" w:eastAsia="宋体" w:cs="Times New Roman"/>
      <w:b/>
      <w:bCs/>
      <w:kern w:val="44"/>
      <w:sz w:val="24"/>
      <w:szCs w:val="48"/>
    </w:rPr>
  </w:style>
  <w:style w:type="paragraph" w:customStyle="1" w:styleId="25">
    <w:name w:val="_Style 6"/>
    <w:basedOn w:val="1"/>
    <w:qFormat/>
    <w:uiPriority w:val="34"/>
    <w:pPr>
      <w:ind w:firstLine="420" w:firstLineChars="200"/>
    </w:pPr>
    <w:rPr>
      <w:rFonts w:ascii="Calibri" w:hAnsi="Calibri" w:eastAsia="宋体" w:cs="Times New Roman"/>
      <w:szCs w:val="22"/>
    </w:rPr>
  </w:style>
  <w:style w:type="paragraph" w:styleId="2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2917</Words>
  <Characters>3029</Characters>
  <Lines>17</Lines>
  <Paragraphs>5</Paragraphs>
  <TotalTime>7</TotalTime>
  <ScaleCrop>false</ScaleCrop>
  <LinksUpToDate>false</LinksUpToDate>
  <CharactersWithSpaces>3117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2025-02-28T08:41:00Z</dcterms:created>
  <dc:creator>WL</dc:creator>
  <cp:lastModifiedBy>gechan</cp:lastModifiedBy>
  <cp:lastPrinted>2022-11-29T01:19:00Z</cp:lastPrinted>
  <dcterms:modified xsi:type="dcterms:W3CDTF">2025-10-29T09:00:27Z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73F5F811D3994CDA88A023444569152C_13</vt:lpwstr>
  </property>
  <property fmtid="{D5CDD505-2E9C-101B-9397-08002B2CF9AE}" pid="4" name="KSOTemplateDocerSaveRecord">
    <vt:lpwstr>eyJoZGlkIjoiZjI2MThiZmNlMjRjNDkyN2Y1ZjUwZWZjZTIwYThiYjIiLCJ1c2VySWQiOiIyOTE1MzI3MjgifQ==</vt:lpwstr>
  </property>
</Properties>
</file>