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0" w:line="259" w:lineRule="auto"/>
        <w:jc w:val="left"/>
        <w:rPr>
          <w:rFonts w:ascii="Calibri" w:hAnsi="Calibri" w:eastAsia="Times New Roman" w:cs="Calibri"/>
          <w:color w:val="000000"/>
          <w:sz w:val="22"/>
        </w:rPr>
      </w:pPr>
      <w:r>
        <w:rPr>
          <w:rFonts w:hint="eastAsia" w:ascii="宋体" w:hAnsi="宋体" w:eastAsia="宋体" w:cs="宋体"/>
          <w:color w:val="000000"/>
          <w:sz w:val="24"/>
        </w:rPr>
        <w:t>证券代码：</w:t>
      </w:r>
      <w:r>
        <w:rPr>
          <w:rFonts w:ascii="宋体" w:hAnsi="宋体" w:eastAsia="宋体" w:cs="宋体"/>
          <w:color w:val="000000"/>
          <w:sz w:val="24"/>
        </w:rPr>
        <w:t xml:space="preserve">688328                                    </w:t>
      </w:r>
      <w:r>
        <w:rPr>
          <w:rFonts w:hint="eastAsia" w:ascii="宋体" w:hAnsi="宋体" w:eastAsia="宋体" w:cs="宋体"/>
          <w:color w:val="000000"/>
          <w:sz w:val="24"/>
        </w:rPr>
        <w:t>证券简称：深科达</w:t>
      </w:r>
      <w:r>
        <w:rPr>
          <w:rFonts w:ascii="宋体" w:hAnsi="宋体" w:eastAsia="宋体" w:cs="宋体"/>
          <w:color w:val="000000"/>
          <w:sz w:val="24"/>
        </w:rPr>
        <w:t xml:space="preserve">                                          </w:t>
      </w:r>
    </w:p>
    <w:p>
      <w:pPr>
        <w:widowControl/>
        <w:spacing w:after="217" w:line="259" w:lineRule="auto"/>
        <w:ind w:firstLine="1606" w:firstLineChars="500"/>
        <w:jc w:val="left"/>
        <w:rPr>
          <w:rFonts w:ascii="宋体" w:hAnsi="宋体" w:eastAsia="宋体" w:cs="宋体"/>
          <w:b/>
          <w:color w:val="000000"/>
          <w:sz w:val="32"/>
        </w:rPr>
      </w:pPr>
      <w:r>
        <w:rPr>
          <w:rFonts w:hint="eastAsia" w:ascii="宋体" w:hAnsi="宋体" w:eastAsia="宋体" w:cs="宋体"/>
          <w:b/>
          <w:color w:val="000000"/>
          <w:sz w:val="32"/>
        </w:rPr>
        <w:t>深圳市深科达智能装备股份有限公司</w:t>
      </w:r>
    </w:p>
    <w:p>
      <w:pPr>
        <w:widowControl/>
        <w:spacing w:line="259" w:lineRule="auto"/>
        <w:ind w:firstLine="2570" w:firstLineChars="800"/>
        <w:jc w:val="left"/>
        <w:rPr>
          <w:rFonts w:ascii="宋体" w:hAnsi="宋体" w:eastAsia="宋体" w:cs="宋体"/>
          <w:b/>
          <w:color w:val="000000"/>
          <w:sz w:val="32"/>
        </w:rPr>
      </w:pPr>
      <w:r>
        <w:rPr>
          <w:rFonts w:hint="eastAsia" w:ascii="宋体" w:hAnsi="宋体" w:eastAsia="宋体" w:cs="宋体"/>
          <w:b/>
          <w:color w:val="000000"/>
          <w:sz w:val="32"/>
        </w:rPr>
        <w:t>投资者关系活动记录表</w:t>
      </w:r>
    </w:p>
    <w:p>
      <w:pPr>
        <w:widowControl/>
        <w:spacing w:line="259" w:lineRule="auto"/>
        <w:ind w:left="1179"/>
        <w:jc w:val="right"/>
        <w:rPr>
          <w:rFonts w:ascii="Calibri" w:hAnsi="Calibri" w:eastAsia="Times New Roman" w:cs="Calibri"/>
          <w:color w:val="000000"/>
          <w:sz w:val="22"/>
        </w:rPr>
      </w:pPr>
    </w:p>
    <w:tbl>
      <w:tblPr>
        <w:tblStyle w:val="9"/>
        <w:tblW w:w="9976" w:type="dxa"/>
        <w:tblInd w:w="-743" w:type="dxa"/>
        <w:tblLayout w:type="fixed"/>
        <w:tblCellMar>
          <w:top w:w="0" w:type="dxa"/>
          <w:left w:w="108" w:type="dxa"/>
          <w:bottom w:w="41" w:type="dxa"/>
          <w:right w:w="0" w:type="dxa"/>
        </w:tblCellMar>
      </w:tblPr>
      <w:tblGrid>
        <w:gridCol w:w="2100"/>
        <w:gridCol w:w="7876"/>
      </w:tblGrid>
      <w:tr>
        <w:tblPrEx>
          <w:tblLayout w:type="fixed"/>
          <w:tblCellMar>
            <w:top w:w="0" w:type="dxa"/>
            <w:left w:w="108" w:type="dxa"/>
            <w:bottom w:w="41" w:type="dxa"/>
            <w:right w:w="0" w:type="dxa"/>
          </w:tblCellMar>
        </w:tblPrEx>
        <w:trPr>
          <w:trHeight w:val="2413"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center"/>
              <w:rPr>
                <w:rFonts w:ascii="宋体" w:hAnsi="宋体" w:eastAsia="宋体" w:cs="Calibri"/>
                <w:b/>
                <w:color w:val="000000"/>
                <w:sz w:val="24"/>
                <w:szCs w:val="24"/>
              </w:rPr>
            </w:pPr>
            <w:r>
              <w:rPr>
                <w:rFonts w:hint="eastAsia" w:ascii="宋体" w:hAnsi="宋体" w:eastAsia="宋体" w:cs="宋体"/>
                <w:b/>
                <w:color w:val="000000"/>
                <w:sz w:val="24"/>
                <w:szCs w:val="24"/>
              </w:rPr>
              <w:t>投资者关系活动类别</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after="0" w:line="360" w:lineRule="auto"/>
              <w:jc w:val="left"/>
              <w:rPr>
                <w:rFonts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特定对象调研</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分析师会议</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媒体采访</w:t>
            </w:r>
            <w:r>
              <w:rPr>
                <w:rFonts w:ascii="宋体" w:hAnsi="宋体" w:eastAsia="宋体" w:cs="宋体"/>
                <w:color w:val="000000"/>
                <w:sz w:val="24"/>
                <w:szCs w:val="24"/>
              </w:rPr>
              <w:t xml:space="preserve">            </w:t>
            </w:r>
            <w:r>
              <w:rPr>
                <w:rFonts w:hint="eastAsia" w:ascii="宋体" w:hAnsi="宋体" w:eastAsia="宋体" w:cs="宋体"/>
                <w:color w:val="000000"/>
                <w:sz w:val="24"/>
                <w:szCs w:val="24"/>
              </w:rPr>
              <w:t>□业绩说明会</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新闻发布会</w:t>
            </w:r>
            <w:r>
              <w:rPr>
                <w:rFonts w:ascii="宋体" w:hAnsi="宋体" w:eastAsia="宋体" w:cs="宋体"/>
                <w:color w:val="000000"/>
                <w:sz w:val="24"/>
                <w:szCs w:val="24"/>
              </w:rPr>
              <w:t xml:space="preserve">          □</w:t>
            </w:r>
            <w:r>
              <w:rPr>
                <w:rFonts w:hint="eastAsia" w:ascii="宋体" w:hAnsi="宋体" w:eastAsia="宋体" w:cs="宋体"/>
                <w:color w:val="000000"/>
                <w:sz w:val="24"/>
                <w:szCs w:val="24"/>
              </w:rPr>
              <w:t>路演活动</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hint="eastAsia" w:ascii="宋体" w:hAnsi="宋体" w:eastAsia="宋体" w:cs="宋体"/>
                <w:color w:val="000000"/>
                <w:sz w:val="24"/>
                <w:szCs w:val="24"/>
              </w:rPr>
              <w:t>■现场参观</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一对一沟通</w:t>
            </w:r>
            <w:r>
              <w:rPr>
                <w:rFonts w:ascii="宋体" w:hAnsi="宋体" w:eastAsia="宋体" w:cs="宋体"/>
                <w:color w:val="000000"/>
                <w:sz w:val="24"/>
                <w:szCs w:val="24"/>
              </w:rPr>
              <w:t xml:space="preserve"> </w:t>
            </w:r>
          </w:p>
          <w:p>
            <w:pPr>
              <w:widowControl/>
              <w:snapToGrid w:val="0"/>
              <w:spacing w:after="0" w:line="360" w:lineRule="auto"/>
              <w:jc w:val="left"/>
              <w:rPr>
                <w:rFonts w:ascii="宋体" w:hAnsi="宋体" w:eastAsia="宋体" w:cs="Calibri"/>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ascii="宋体" w:hAnsi="宋体" w:eastAsia="宋体" w:cs="宋体"/>
                <w:color w:val="000000"/>
                <w:sz w:val="24"/>
                <w:szCs w:val="24"/>
              </w:rPr>
              <w:t xml:space="preserve">  </w:t>
            </w:r>
          </w:p>
        </w:tc>
      </w:tr>
      <w:tr>
        <w:tblPrEx>
          <w:tblLayout w:type="fixed"/>
          <w:tblCellMar>
            <w:top w:w="0" w:type="dxa"/>
            <w:left w:w="108" w:type="dxa"/>
            <w:bottom w:w="41" w:type="dxa"/>
            <w:right w:w="0" w:type="dxa"/>
          </w:tblCellMar>
        </w:tblPrEx>
        <w:trPr>
          <w:trHeight w:val="141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left"/>
              <w:rPr>
                <w:rFonts w:ascii="宋体" w:hAnsi="宋体" w:eastAsia="宋体" w:cs="宋体"/>
                <w:color w:val="000000"/>
                <w:sz w:val="24"/>
                <w:szCs w:val="24"/>
              </w:rPr>
            </w:pPr>
            <w:r>
              <w:rPr>
                <w:rFonts w:hint="eastAsia" w:ascii="宋体" w:hAnsi="宋体" w:eastAsia="宋体" w:cs="宋体"/>
                <w:b/>
                <w:color w:val="000000"/>
                <w:sz w:val="24"/>
                <w:szCs w:val="24"/>
              </w:rPr>
              <w:t>参与单位</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left="240" w:hanging="240" w:hangingChars="1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玖金基金、金信基金、达晨财智、宏惟资本、百富源、中美资本            华福证券、财东基金</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jc w:val="left"/>
              <w:rPr>
                <w:rFonts w:ascii="宋体" w:hAnsi="宋体" w:eastAsia="宋体" w:cs="Calibri"/>
                <w:b/>
                <w:color w:val="000000"/>
                <w:sz w:val="24"/>
                <w:szCs w:val="24"/>
              </w:rPr>
            </w:pPr>
            <w:r>
              <w:rPr>
                <w:rFonts w:hint="eastAsia" w:ascii="宋体" w:hAnsi="宋体" w:eastAsia="宋体" w:cs="宋体"/>
                <w:b/>
                <w:color w:val="000000"/>
                <w:sz w:val="24"/>
                <w:szCs w:val="24"/>
              </w:rPr>
              <w:t>时间</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jc w:val="left"/>
              <w:rPr>
                <w:rFonts w:ascii="宋体" w:hAnsi="宋体" w:eastAsia="宋体" w:cs="Calibri"/>
                <w:color w:val="000000"/>
                <w:sz w:val="24"/>
                <w:szCs w:val="24"/>
              </w:rPr>
            </w:pPr>
            <w:r>
              <w:rPr>
                <w:rFonts w:ascii="宋体" w:hAnsi="宋体" w:eastAsia="宋体" w:cs="Calibri"/>
                <w:color w:val="000000"/>
                <w:sz w:val="24"/>
                <w:szCs w:val="24"/>
              </w:rPr>
              <w:t>202</w:t>
            </w:r>
            <w:r>
              <w:rPr>
                <w:rFonts w:hint="eastAsia" w:ascii="宋体" w:hAnsi="宋体" w:eastAsia="宋体" w:cs="Calibri"/>
                <w:color w:val="000000"/>
                <w:sz w:val="24"/>
                <w:szCs w:val="24"/>
              </w:rPr>
              <w:t>5年</w:t>
            </w:r>
            <w:r>
              <w:rPr>
                <w:rFonts w:ascii="宋体" w:hAnsi="宋体" w:eastAsia="宋体" w:cs="Calibri"/>
                <w:color w:val="000000"/>
                <w:sz w:val="24"/>
                <w:szCs w:val="24"/>
              </w:rPr>
              <w:t>10</w:t>
            </w:r>
            <w:r>
              <w:rPr>
                <w:rFonts w:hint="eastAsia" w:ascii="宋体" w:hAnsi="宋体" w:eastAsia="宋体" w:cs="Calibri"/>
                <w:color w:val="000000"/>
                <w:sz w:val="24"/>
                <w:szCs w:val="24"/>
              </w:rPr>
              <w:t>月</w:t>
            </w:r>
            <w:r>
              <w:rPr>
                <w:rFonts w:hint="eastAsia" w:ascii="宋体" w:hAnsi="宋体" w:eastAsia="宋体" w:cs="Calibri"/>
                <w:color w:val="000000"/>
                <w:sz w:val="24"/>
                <w:szCs w:val="24"/>
                <w:lang w:val="en-US" w:eastAsia="zh-CN"/>
              </w:rPr>
              <w:t>30</w:t>
            </w:r>
            <w:r>
              <w:rPr>
                <w:rFonts w:hint="eastAsia" w:ascii="宋体" w:hAnsi="宋体" w:eastAsia="宋体" w:cs="Calibri"/>
                <w:color w:val="000000"/>
                <w:sz w:val="24"/>
                <w:szCs w:val="24"/>
              </w:rPr>
              <w:t>日</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rPr>
                <w:rFonts w:ascii="宋体" w:hAnsi="宋体" w:eastAsia="宋体" w:cs="Calibri"/>
                <w:b/>
                <w:color w:val="000000"/>
                <w:sz w:val="24"/>
                <w:szCs w:val="24"/>
              </w:rPr>
            </w:pPr>
            <w:r>
              <w:rPr>
                <w:rFonts w:hint="eastAsia" w:ascii="宋体" w:hAnsi="宋体" w:eastAsia="宋体" w:cs="宋体"/>
                <w:b/>
                <w:color w:val="000000"/>
                <w:sz w:val="24"/>
                <w:szCs w:val="24"/>
              </w:rPr>
              <w:t>地点</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Calibri"/>
                <w:color w:val="000000"/>
                <w:sz w:val="24"/>
                <w:szCs w:val="24"/>
              </w:rPr>
            </w:pPr>
            <w:r>
              <w:rPr>
                <w:rFonts w:hint="eastAsia" w:ascii="宋体" w:hAnsi="宋体" w:eastAsia="宋体" w:cs="Calibri"/>
                <w:color w:val="000000"/>
                <w:sz w:val="24"/>
                <w:szCs w:val="24"/>
              </w:rPr>
              <w:t>会议室</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Calibri"/>
                <w:b/>
                <w:color w:val="000000"/>
                <w:sz w:val="24"/>
                <w:szCs w:val="24"/>
              </w:rPr>
            </w:pPr>
            <w:r>
              <w:rPr>
                <w:rFonts w:hint="eastAsia" w:ascii="宋体" w:hAnsi="宋体" w:eastAsia="宋体" w:cs="宋体"/>
                <w:b/>
                <w:color w:val="000000"/>
                <w:sz w:val="24"/>
                <w:szCs w:val="24"/>
              </w:rPr>
              <w:t>接待人员</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Calibri"/>
                <w:color w:val="000000"/>
                <w:sz w:val="24"/>
                <w:szCs w:val="24"/>
              </w:rPr>
            </w:pPr>
            <w:r>
              <w:rPr>
                <w:rFonts w:hint="eastAsia" w:ascii="宋体" w:hAnsi="宋体" w:eastAsia="宋体" w:cs="Calibri"/>
                <w:color w:val="000000"/>
                <w:sz w:val="24"/>
                <w:szCs w:val="24"/>
              </w:rPr>
              <w:t>董事会秘书：郑亦平</w:t>
            </w: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right="110"/>
              <w:jc w:val="center"/>
              <w:rPr>
                <w:rFonts w:ascii="宋体" w:hAnsi="宋体" w:eastAsia="宋体" w:cs="宋体"/>
                <w:b/>
                <w:color w:val="000000"/>
                <w:sz w:val="24"/>
                <w:szCs w:val="24"/>
              </w:rPr>
            </w:pPr>
            <w:r>
              <w:rPr>
                <w:rFonts w:hint="eastAsia" w:ascii="宋体" w:hAnsi="宋体" w:eastAsia="宋体" w:cs="宋体"/>
                <w:b/>
                <w:color w:val="000000"/>
                <w:sz w:val="24"/>
                <w:szCs w:val="24"/>
              </w:rPr>
              <w:t>投资者关系活动主要内容介绍</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numPr>
                <w:ilvl w:val="0"/>
                <w:numId w:val="1"/>
              </w:numPr>
              <w:snapToGrid w:val="0"/>
              <w:spacing w:before="312" w:beforeLines="100"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公司主要业务</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情况？</w:t>
            </w:r>
          </w:p>
          <w:p>
            <w:pPr>
              <w:widowControl/>
              <w:snapToGrid w:val="0"/>
              <w:spacing w:line="360" w:lineRule="auto"/>
              <w:jc w:val="left"/>
              <w:rPr>
                <w:rFonts w:hint="eastAsia"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是一家专业智能装备及核心部件制造商，拥有科学完整的研发、生产和销售运营体系，能够为客户提供公司相关自动化设备的整体解决方案。公司主要从事半导体类设备、平板显示模组类设备、以及智能装备关键零部件的研发、生产和销售。公司产品广泛应用于半导体封测、平板显示器件（显示模组、触控模组、指纹识别模组）的自动化组装和智能化检测，并向智能装备关键零部件等领域进行了延伸。</w:t>
            </w:r>
          </w:p>
          <w:p>
            <w:pPr>
              <w:widowControl/>
              <w:numPr>
                <w:ilvl w:val="0"/>
                <w:numId w:val="1"/>
              </w:numPr>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公司</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今年</w:t>
            </w:r>
            <w:r>
              <w:rPr>
                <w:rFonts w:ascii="Times New Roman" w:hAnsi="Times New Roman" w:eastAsia="宋体" w:cs="Times New Roman"/>
                <w:bCs/>
                <w:color w:val="000000" w:themeColor="text1"/>
                <w:sz w:val="24"/>
                <w:szCs w:val="24"/>
                <w14:textFill>
                  <w14:solidFill>
                    <w14:schemeClr w14:val="tx1"/>
                  </w14:solidFill>
                </w14:textFill>
              </w:rPr>
              <w:t>整体的经营情况？</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答：公司今年</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来</w:t>
            </w:r>
            <w:r>
              <w:rPr>
                <w:rFonts w:hint="eastAsia" w:ascii="Times New Roman" w:hAnsi="Times New Roman" w:eastAsia="宋体" w:cs="Times New Roman"/>
                <w:bCs/>
                <w:color w:val="000000" w:themeColor="text1"/>
                <w:sz w:val="24"/>
                <w:szCs w:val="24"/>
                <w14:textFill>
                  <w14:solidFill>
                    <w14:schemeClr w14:val="tx1"/>
                  </w14:solidFill>
                </w14:textFill>
              </w:rPr>
              <w:t>通过聚焦主业，重点开拓消费类电子细分应用场景，公司</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前三季度</w:t>
            </w:r>
            <w:r>
              <w:rPr>
                <w:rFonts w:hint="eastAsia" w:ascii="Times New Roman" w:hAnsi="Times New Roman" w:eastAsia="宋体" w:cs="Times New Roman"/>
                <w:bCs/>
                <w:color w:val="000000" w:themeColor="text1"/>
                <w:sz w:val="24"/>
                <w:szCs w:val="24"/>
                <w14:textFill>
                  <w14:solidFill>
                    <w14:schemeClr w14:val="tx1"/>
                  </w14:solidFill>
                </w14:textFill>
              </w:rPr>
              <w:t>实现营业收入</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5.27亿</w:t>
            </w:r>
            <w:r>
              <w:rPr>
                <w:rFonts w:hint="eastAsia" w:ascii="Times New Roman" w:hAnsi="Times New Roman" w:eastAsia="宋体" w:cs="Times New Roman"/>
                <w:bCs/>
                <w:color w:val="000000" w:themeColor="text1"/>
                <w:sz w:val="24"/>
                <w:szCs w:val="24"/>
                <w14:textFill>
                  <w14:solidFill>
                    <w14:schemeClr w14:val="tx1"/>
                  </w14:solidFill>
                </w14:textFill>
              </w:rPr>
              <w:t>元，较去年同期增长</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30.52</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已超过去年全年实现的营业收入</w:t>
            </w:r>
            <w:r>
              <w:rPr>
                <w:rFonts w:hint="eastAsia" w:ascii="Times New Roman" w:hAnsi="Times New Roman" w:eastAsia="宋体" w:cs="Times New Roman"/>
                <w:bCs/>
                <w:color w:val="000000" w:themeColor="text1"/>
                <w:sz w:val="24"/>
                <w:szCs w:val="24"/>
                <w14:textFill>
                  <w14:solidFill>
                    <w14:schemeClr w14:val="tx1"/>
                  </w14:solidFill>
                </w14:textFill>
              </w:rPr>
              <w:t>；实现归属于上市公司股东的净利润2</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787</w:t>
            </w:r>
            <w:r>
              <w:rPr>
                <w:rFonts w:hint="eastAsia" w:ascii="Times New Roman" w:hAnsi="Times New Roman" w:eastAsia="宋体" w:cs="Times New Roman"/>
                <w:bCs/>
                <w:color w:val="000000" w:themeColor="text1"/>
                <w:sz w:val="24"/>
                <w:szCs w:val="24"/>
                <w14:textFill>
                  <w14:solidFill>
                    <w14:schemeClr w14:val="tx1"/>
                  </w14:solidFill>
                </w14:textFill>
              </w:rPr>
              <w:t>万元，较去年同期</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扭亏为盈，公司今年保持持续盈利</w:t>
            </w:r>
            <w:r>
              <w:rPr>
                <w:rFonts w:hint="eastAsia" w:ascii="Times New Roman" w:hAnsi="Times New Roman" w:eastAsia="宋体" w:cs="Times New Roman"/>
                <w:bCs/>
                <w:color w:val="000000" w:themeColor="text1"/>
                <w:sz w:val="24"/>
                <w:szCs w:val="24"/>
                <w14:textFill>
                  <w14:solidFill>
                    <w14:schemeClr w14:val="tx1"/>
                  </w14:solidFill>
                </w14:textFill>
              </w:rPr>
              <w:t>。</w:t>
            </w:r>
          </w:p>
          <w:p>
            <w:pPr>
              <w:widowControl/>
              <w:snapToGrid w:val="0"/>
              <w:spacing w:line="360" w:lineRule="auto"/>
              <w:jc w:val="left"/>
              <w:rPr>
                <w:rFonts w:hint="default" w:ascii="Times New Roman" w:hAnsi="Times New Roman" w:eastAsia="宋体" w:cs="Times New Roman"/>
                <w:bCs/>
                <w:color w:val="000000" w:themeColor="text1"/>
                <w:sz w:val="24"/>
                <w:szCs w:val="24"/>
                <w:lang w:val="en-US"/>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从业务来看，公司平板显示模组类设备营业收入</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是公司营业收入增长的主要来源</w:t>
            </w:r>
            <w:r>
              <w:rPr>
                <w:rFonts w:hint="eastAsia" w:ascii="Times New Roman" w:hAnsi="Times New Roman" w:eastAsia="宋体" w:cs="Times New Roman"/>
                <w:bCs/>
                <w:color w:val="000000" w:themeColor="text1"/>
                <w:sz w:val="24"/>
                <w:szCs w:val="24"/>
                <w14:textFill>
                  <w14:solidFill>
                    <w14:schemeClr w14:val="tx1"/>
                  </w14:solidFill>
                </w14:textFill>
              </w:rPr>
              <w:t>。主要原因系显示面板行业呈现复苏态势，超声波指纹、电子纸、智能眼镜等细分应用场景需求增长，公司平板显示模组类设备业务销售订单较去年同期增加，平板显示模组类设备业务收入较去年同期大幅增长。同时，公司半导体封测设备</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平移式分选机以及重力式分选机产品均取得了积极突破，客户及订单不断增加，今年前三季度公司半导体分选机设备业绩取得了明显增长。</w:t>
            </w:r>
          </w:p>
          <w:p>
            <w:pPr>
              <w:widowControl/>
              <w:numPr>
                <w:ilvl w:val="0"/>
                <w:numId w:val="1"/>
              </w:numPr>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公司在智能眼镜相关设备</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除了北美客户以外，还有没有对接其他国内客户</w:t>
            </w:r>
            <w:r>
              <w:rPr>
                <w:rFonts w:hint="eastAsia" w:ascii="Times New Roman" w:hAnsi="Times New Roman" w:eastAsia="宋体" w:cs="Times New Roman"/>
                <w:bCs/>
                <w:color w:val="000000" w:themeColor="text1"/>
                <w:sz w:val="24"/>
                <w:szCs w:val="24"/>
                <w:highlight w:val="none"/>
                <w14:textFill>
                  <w14:solidFill>
                    <w14:schemeClr w14:val="tx1"/>
                  </w14:solidFill>
                </w14:textFill>
              </w:rPr>
              <w:t>？</w:t>
            </w:r>
          </w:p>
          <w:p>
            <w:pPr>
              <w:widowControl/>
              <w:snapToGrid w:val="0"/>
              <w:spacing w:line="360" w:lineRule="auto"/>
              <w:jc w:val="left"/>
              <w:rPr>
                <w:rFonts w:hint="default" w:ascii="Times New Roman" w:hAnsi="Times New Roman" w:eastAsia="宋体" w:cs="Times New Roman"/>
                <w:bCs/>
                <w:color w:val="000000" w:themeColor="text1"/>
                <w:sz w:val="24"/>
                <w:szCs w:val="24"/>
                <w:lang w:val="en-US"/>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公司今年智能眼镜订单主要系与北美客户建立良好合作取得了快速增长，公司目前也正在与国内数家优质客户推进智能眼镜制程设备的合作。根据 IDC 报告，2025 年上半年，全球智能眼镜市场出货量达 406.5 万台，同比增长 64.2%，其中中国智能眼镜市场也是全球智能眼镜增长的主要贡献，公司将深耕本土需求，不断满足客户对智能眼镜光学显示的更高要求，持续助力推进智能眼镜的应用与发展。</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Cs/>
                <w:color w:val="000000" w:themeColor="text1"/>
                <w:sz w:val="24"/>
                <w:szCs w:val="24"/>
                <w14:textFill>
                  <w14:solidFill>
                    <w14:schemeClr w14:val="tx1"/>
                  </w14:solidFill>
                </w14:textFill>
              </w:rPr>
              <w:t>、半导体产业国产化发展趋势下公司在半导体领域有哪些布局规划，能否在某方面完成国产替代？公司今年半导体业务订单如何？</w:t>
            </w:r>
          </w:p>
          <w:p>
            <w:pPr>
              <w:widowControl/>
              <w:snapToGrid w:val="0"/>
              <w:spacing w:line="360" w:lineRule="auto"/>
              <w:jc w:val="left"/>
              <w:rPr>
                <w:rFonts w:hint="eastAsia" w:ascii="MS Gothic" w:hAnsi="MS Gothic" w:eastAsia="MS Gothic" w:cs="MS Gothic"/>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深耕于半导体封测设备领域多年，公司的半导体封测设备业务聚焦集成电路后道制程，主要产品涵盖转塔式分选机、平移式分选机、重力式分选机、晶圆探针台及晶圆固晶机等，广泛应用于半导体领域的测试与封装环节。公司将巩固测试分选一体机的市场地位，加快平移式分选机的市场拓展。同时，持续投入研发，提升产品在效率与稳定性上的性能。此外，公司还将积极拓展海外市场，在提升国内市场占有率的同时，扩大产品出口范围。公司与众多知名半导体企业建立长期稳定的合作关系，当前公司半导体业务的订单储备充足，发展态势良好。</w:t>
            </w:r>
            <w:r>
              <w:rPr>
                <w:rFonts w:hint="eastAsia" w:ascii="MS Gothic" w:hAnsi="MS Gothic" w:eastAsia="MS Gothic" w:cs="MS Gothic"/>
                <w:bCs/>
                <w:color w:val="000000" w:themeColor="text1"/>
                <w:sz w:val="24"/>
                <w:szCs w:val="24"/>
                <w14:textFill>
                  <w14:solidFill>
                    <w14:schemeClr w14:val="tx1"/>
                  </w14:solidFill>
                </w14:textFill>
              </w:rPr>
              <w:t>​</w:t>
            </w:r>
          </w:p>
          <w:p>
            <w:pPr>
              <w:widowControl/>
              <w:numPr>
                <w:ilvl w:val="0"/>
                <w:numId w:val="0"/>
              </w:numPr>
              <w:snapToGrid w:val="0"/>
              <w:spacing w:line="360" w:lineRule="auto"/>
              <w:ind w:leftChars="0"/>
              <w:jc w:val="left"/>
              <w:rPr>
                <w:rFonts w:hint="eastAsia" w:ascii="MS Gothic" w:hAnsi="MS Gothic" w:eastAsia="宋体" w:cs="MS Gothic"/>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5、公司目前的</w:t>
            </w:r>
            <w:r>
              <w:rPr>
                <w:rFonts w:hint="eastAsia" w:ascii="MS Gothic" w:hAnsi="MS Gothic" w:eastAsia="宋体" w:cs="MS Gothic"/>
                <w:bCs/>
                <w:color w:val="000000" w:themeColor="text1"/>
                <w:sz w:val="24"/>
                <w:szCs w:val="24"/>
                <w:lang w:val="en-US" w:eastAsia="zh-CN"/>
                <w14:textFill>
                  <w14:solidFill>
                    <w14:schemeClr w14:val="tx1"/>
                  </w14:solidFill>
                </w14:textFill>
              </w:rPr>
              <w:t>人员情况以及研发人员占比？</w:t>
            </w:r>
          </w:p>
          <w:p>
            <w:pPr>
              <w:widowControl/>
              <w:numPr>
                <w:ilvl w:val="0"/>
                <w:numId w:val="0"/>
              </w:numPr>
              <w:snapToGrid w:val="0"/>
              <w:spacing w:line="360" w:lineRule="auto"/>
              <w:ind w:leftChars="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MS Gothic" w:hAnsi="MS Gothic" w:eastAsia="宋体" w:cs="MS Gothic"/>
                <w:bCs/>
                <w:color w:val="000000" w:themeColor="text1"/>
                <w:sz w:val="24"/>
                <w:szCs w:val="24"/>
                <w:lang w:val="en-US" w:eastAsia="zh-CN"/>
                <w14:textFill>
                  <w14:solidFill>
                    <w14:schemeClr w14:val="tx1"/>
                  </w14:solidFill>
                </w14:textFill>
              </w:rPr>
              <w:t>回复：公司近年来通过不断聚焦主业，调整产品结构</w:t>
            </w:r>
            <w:r>
              <w:rPr>
                <w:rFonts w:hint="eastAsia" w:ascii="宋体" w:hAnsi="宋体" w:eastAsia="宋体" w:cs="宋体"/>
                <w:bCs/>
                <w:color w:val="000000" w:themeColor="text1"/>
                <w:sz w:val="24"/>
                <w:szCs w:val="24"/>
                <w:lang w:val="en-US" w:eastAsia="zh-CN"/>
                <w14:textFill>
                  <w14:solidFill>
                    <w14:schemeClr w14:val="tx1"/>
                  </w14:solidFill>
                </w14:textFill>
              </w:rPr>
              <w:t>，目前公司人员为706人，研发人员占比为20%。</w:t>
            </w:r>
          </w:p>
          <w:p>
            <w:pPr>
              <w:pStyle w:val="8"/>
              <w:widowControl/>
              <w:numPr>
                <w:ilvl w:val="0"/>
                <w:numId w:val="0"/>
              </w:numPr>
              <w:snapToGrid w:val="0"/>
              <w:spacing w:line="360" w:lineRule="auto"/>
              <w:ind w:leftChars="0"/>
              <w:jc w:val="left"/>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6、公司是否有存储相关业</w:t>
            </w:r>
            <w:bookmarkStart w:id="0" w:name="_GoBack"/>
            <w:bookmarkEnd w:id="0"/>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务</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客户具体是哪一家？未来发展情况？</w:t>
            </w:r>
          </w:p>
          <w:p>
            <w:pPr>
              <w:widowControl/>
              <w:snapToGrid w:val="0"/>
              <w:spacing w:line="360" w:lineRule="auto"/>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答：公司自</w:t>
            </w:r>
            <w:r>
              <w:rPr>
                <w:rFonts w:ascii="Times New Roman" w:hAnsi="Times New Roman" w:eastAsia="宋体" w:cs="Times New Roman"/>
                <w:bCs/>
                <w:color w:val="000000" w:themeColor="text1"/>
                <w:sz w:val="24"/>
                <w:szCs w:val="24"/>
                <w14:textFill>
                  <w14:solidFill>
                    <w14:schemeClr w14:val="tx1"/>
                  </w14:solidFill>
                </w14:textFill>
              </w:rPr>
              <w:t>2016年布局半导体分选机设备业务，分选机设备可以应用于存储封测环节</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并</w:t>
            </w:r>
            <w:r>
              <w:rPr>
                <w:rFonts w:hint="eastAsia" w:ascii="Times New Roman" w:hAnsi="Times New Roman" w:eastAsia="宋体" w:cs="Times New Roman"/>
                <w:bCs/>
                <w:color w:val="000000" w:themeColor="text1"/>
                <w:sz w:val="24"/>
                <w:szCs w:val="24"/>
                <w14:textFill>
                  <w14:solidFill>
                    <w14:schemeClr w14:val="tx1"/>
                  </w14:solidFill>
                </w14:textFill>
              </w:rPr>
              <w:t>与</w:t>
            </w:r>
            <w:r>
              <w:rPr>
                <w:rFonts w:ascii="Times New Roman" w:hAnsi="Times New Roman" w:eastAsia="宋体" w:cs="Times New Roman"/>
                <w:bCs/>
                <w:color w:val="000000" w:themeColor="text1"/>
                <w:sz w:val="24"/>
                <w:szCs w:val="24"/>
                <w14:textFill>
                  <w14:solidFill>
                    <w14:schemeClr w14:val="tx1"/>
                  </w14:solidFill>
                </w14:textFill>
              </w:rPr>
              <w:t>通富微电、长电科技等</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众多</w:t>
            </w:r>
            <w:r>
              <w:rPr>
                <w:rFonts w:ascii="Times New Roman" w:hAnsi="Times New Roman" w:eastAsia="宋体" w:cs="Times New Roman"/>
                <w:bCs/>
                <w:color w:val="000000" w:themeColor="text1"/>
                <w:sz w:val="24"/>
                <w:szCs w:val="24"/>
                <w14:textFill>
                  <w14:solidFill>
                    <w14:schemeClr w14:val="tx1"/>
                  </w14:solidFill>
                </w14:textFill>
              </w:rPr>
              <w:t>优质客户建立了深入合作，目前整体订单情况良好。</w:t>
            </w:r>
          </w:p>
          <w:p>
            <w:pPr>
              <w:widowControl/>
              <w:snapToGrid w:val="0"/>
              <w:spacing w:line="360" w:lineRule="auto"/>
              <w:jc w:val="left"/>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此外，公司目前已于北美知名存储厂商建立了直接合作，公司为其提供存储AOI检测设备</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等多款设备</w:t>
            </w:r>
            <w:r>
              <w:rPr>
                <w:rFonts w:ascii="Times New Roman" w:hAnsi="Times New Roman" w:eastAsia="宋体" w:cs="Times New Roman"/>
                <w:bCs/>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14:textFill>
                  <w14:solidFill>
                    <w14:schemeClr w14:val="tx1"/>
                  </w14:solidFill>
                </w14:textFill>
              </w:rPr>
              <w:t>因涉及公司与客户的保密约定，不便于透露客户具体信息，</w:t>
            </w:r>
            <w:r>
              <w:rPr>
                <w:rFonts w:ascii="Times New Roman" w:hAnsi="Times New Roman" w:eastAsia="宋体" w:cs="Times New Roman"/>
                <w:bCs/>
                <w:color w:val="000000" w:themeColor="text1"/>
                <w:sz w:val="24"/>
                <w:szCs w:val="24"/>
                <w:highlight w:val="none"/>
                <w14:textFill>
                  <w14:solidFill>
                    <w14:schemeClr w14:val="tx1"/>
                  </w14:solidFill>
                </w14:textFill>
              </w:rPr>
              <w:t>但</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随着AI 是推动存储市场需求增长的核心动力，单台 AI 服务器的存储用量是传统服务器的 8-10 倍，未来存储生产线扩产需求将不断提高，公司将结合自身在精密贴合以及半导体设备技术的积累紧抓存储市场以及优质海外客户的需求。</w:t>
            </w:r>
          </w:p>
          <w:p>
            <w:pPr>
              <w:widowControl/>
              <w:numPr>
                <w:ilvl w:val="0"/>
                <w:numId w:val="0"/>
              </w:numPr>
              <w:snapToGrid w:val="0"/>
              <w:spacing w:line="360" w:lineRule="auto"/>
              <w:jc w:val="left"/>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7、公司目前在手订单情况？全年经营目标？</w:t>
            </w:r>
          </w:p>
          <w:p>
            <w:pPr>
              <w:widowControl/>
              <w:numPr>
                <w:ilvl w:val="0"/>
                <w:numId w:val="0"/>
              </w:numPr>
              <w:snapToGrid w:val="0"/>
              <w:spacing w:line="360" w:lineRule="auto"/>
              <w:jc w:val="left"/>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回复：公司目前在手订单充足，能够支持公司后续经营发展目标，公司全年将围绕已披露的股权激励经营目标努力。</w:t>
            </w: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before="156" w:beforeLines="50" w:after="0" w:line="360" w:lineRule="auto"/>
              <w:rPr>
                <w:rFonts w:ascii="宋体" w:hAnsi="宋体" w:eastAsia="宋体" w:cs="宋体"/>
                <w:b/>
                <w:color w:val="000000"/>
                <w:sz w:val="24"/>
                <w:szCs w:val="24"/>
              </w:rPr>
            </w:pPr>
            <w:r>
              <w:rPr>
                <w:rFonts w:hint="eastAsia" w:ascii="宋体" w:hAnsi="宋体" w:eastAsia="宋体" w:cs="宋体"/>
                <w:b/>
                <w:color w:val="000000"/>
                <w:sz w:val="24"/>
                <w:szCs w:val="24"/>
              </w:rPr>
              <w:t>附件清单（如有）</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无</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投资者关系调研记录表2025-</w:t>
    </w:r>
    <w: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94188"/>
    <w:multiLevelType w:val="multilevel"/>
    <w:tmpl w:val="90194188"/>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3A"/>
    <w:rsid w:val="00007BB1"/>
    <w:rsid w:val="00024DA0"/>
    <w:rsid w:val="0003789B"/>
    <w:rsid w:val="00045150"/>
    <w:rsid w:val="0005195B"/>
    <w:rsid w:val="0005228C"/>
    <w:rsid w:val="00066488"/>
    <w:rsid w:val="000859A1"/>
    <w:rsid w:val="000911B1"/>
    <w:rsid w:val="000A36D9"/>
    <w:rsid w:val="000A6DDF"/>
    <w:rsid w:val="000B022D"/>
    <w:rsid w:val="000C24AF"/>
    <w:rsid w:val="000C66AC"/>
    <w:rsid w:val="000C7ECB"/>
    <w:rsid w:val="000E3444"/>
    <w:rsid w:val="000F2088"/>
    <w:rsid w:val="000F68A3"/>
    <w:rsid w:val="000F7B15"/>
    <w:rsid w:val="00105DB6"/>
    <w:rsid w:val="00111A9F"/>
    <w:rsid w:val="001218C5"/>
    <w:rsid w:val="001268B5"/>
    <w:rsid w:val="00127CFF"/>
    <w:rsid w:val="00141788"/>
    <w:rsid w:val="001618D4"/>
    <w:rsid w:val="00172897"/>
    <w:rsid w:val="00174135"/>
    <w:rsid w:val="001762DD"/>
    <w:rsid w:val="001770C5"/>
    <w:rsid w:val="001B4BAE"/>
    <w:rsid w:val="001E2B03"/>
    <w:rsid w:val="002149F8"/>
    <w:rsid w:val="002153C4"/>
    <w:rsid w:val="00215CCC"/>
    <w:rsid w:val="002169BA"/>
    <w:rsid w:val="00227609"/>
    <w:rsid w:val="00227927"/>
    <w:rsid w:val="002313D0"/>
    <w:rsid w:val="00234889"/>
    <w:rsid w:val="002542FB"/>
    <w:rsid w:val="00260363"/>
    <w:rsid w:val="002641F9"/>
    <w:rsid w:val="002735E9"/>
    <w:rsid w:val="00282E26"/>
    <w:rsid w:val="00284A83"/>
    <w:rsid w:val="002A78AB"/>
    <w:rsid w:val="002C156E"/>
    <w:rsid w:val="002E03FF"/>
    <w:rsid w:val="002E25DA"/>
    <w:rsid w:val="002E593A"/>
    <w:rsid w:val="002E6F1D"/>
    <w:rsid w:val="002F2186"/>
    <w:rsid w:val="002F5B4F"/>
    <w:rsid w:val="002F60BE"/>
    <w:rsid w:val="003013AF"/>
    <w:rsid w:val="003036D7"/>
    <w:rsid w:val="003244D1"/>
    <w:rsid w:val="00341321"/>
    <w:rsid w:val="00341680"/>
    <w:rsid w:val="00343140"/>
    <w:rsid w:val="00365D58"/>
    <w:rsid w:val="0039175E"/>
    <w:rsid w:val="0039424D"/>
    <w:rsid w:val="003A0453"/>
    <w:rsid w:val="003A7B13"/>
    <w:rsid w:val="003D33FB"/>
    <w:rsid w:val="003D68CE"/>
    <w:rsid w:val="003F51C4"/>
    <w:rsid w:val="00423762"/>
    <w:rsid w:val="00425379"/>
    <w:rsid w:val="00431189"/>
    <w:rsid w:val="00441FB0"/>
    <w:rsid w:val="00486001"/>
    <w:rsid w:val="004916E5"/>
    <w:rsid w:val="0049390B"/>
    <w:rsid w:val="00495744"/>
    <w:rsid w:val="004B283F"/>
    <w:rsid w:val="004B42CE"/>
    <w:rsid w:val="004B7A64"/>
    <w:rsid w:val="004E2779"/>
    <w:rsid w:val="004E4791"/>
    <w:rsid w:val="004F6DDF"/>
    <w:rsid w:val="00540F5E"/>
    <w:rsid w:val="00543E0D"/>
    <w:rsid w:val="00550A02"/>
    <w:rsid w:val="005631F4"/>
    <w:rsid w:val="00571C96"/>
    <w:rsid w:val="0059126B"/>
    <w:rsid w:val="005B6EDB"/>
    <w:rsid w:val="005E4214"/>
    <w:rsid w:val="005F75DD"/>
    <w:rsid w:val="00601B64"/>
    <w:rsid w:val="006215DB"/>
    <w:rsid w:val="00626B1E"/>
    <w:rsid w:val="00636A0A"/>
    <w:rsid w:val="006614EC"/>
    <w:rsid w:val="0067019D"/>
    <w:rsid w:val="00676756"/>
    <w:rsid w:val="00680FF1"/>
    <w:rsid w:val="00684A28"/>
    <w:rsid w:val="00697E06"/>
    <w:rsid w:val="006A13AE"/>
    <w:rsid w:val="006A7ED1"/>
    <w:rsid w:val="006B3BBF"/>
    <w:rsid w:val="006D240F"/>
    <w:rsid w:val="00715EA3"/>
    <w:rsid w:val="00724E94"/>
    <w:rsid w:val="00727C4E"/>
    <w:rsid w:val="00734959"/>
    <w:rsid w:val="00745BBF"/>
    <w:rsid w:val="00767398"/>
    <w:rsid w:val="00771E75"/>
    <w:rsid w:val="00795411"/>
    <w:rsid w:val="007C3DC5"/>
    <w:rsid w:val="007C50C8"/>
    <w:rsid w:val="007D7579"/>
    <w:rsid w:val="007E0A19"/>
    <w:rsid w:val="007E0A94"/>
    <w:rsid w:val="00802568"/>
    <w:rsid w:val="00802E87"/>
    <w:rsid w:val="00812C38"/>
    <w:rsid w:val="0083205D"/>
    <w:rsid w:val="00887839"/>
    <w:rsid w:val="008A2209"/>
    <w:rsid w:val="008A4F1F"/>
    <w:rsid w:val="008A7678"/>
    <w:rsid w:val="008B1838"/>
    <w:rsid w:val="008C5CF2"/>
    <w:rsid w:val="008D6ECB"/>
    <w:rsid w:val="008F14C1"/>
    <w:rsid w:val="009018B3"/>
    <w:rsid w:val="009314BC"/>
    <w:rsid w:val="0093153E"/>
    <w:rsid w:val="00947AB4"/>
    <w:rsid w:val="009709F1"/>
    <w:rsid w:val="009824CC"/>
    <w:rsid w:val="009868E8"/>
    <w:rsid w:val="00993534"/>
    <w:rsid w:val="009B4D09"/>
    <w:rsid w:val="009B60F4"/>
    <w:rsid w:val="009E6F6B"/>
    <w:rsid w:val="00A04A85"/>
    <w:rsid w:val="00A13212"/>
    <w:rsid w:val="00A24ADD"/>
    <w:rsid w:val="00A24E1C"/>
    <w:rsid w:val="00A46D6F"/>
    <w:rsid w:val="00A47956"/>
    <w:rsid w:val="00A706F0"/>
    <w:rsid w:val="00A75760"/>
    <w:rsid w:val="00A77639"/>
    <w:rsid w:val="00A94AA5"/>
    <w:rsid w:val="00A97546"/>
    <w:rsid w:val="00AA3F47"/>
    <w:rsid w:val="00AB058C"/>
    <w:rsid w:val="00AB3988"/>
    <w:rsid w:val="00AB3C08"/>
    <w:rsid w:val="00AC4AED"/>
    <w:rsid w:val="00AD5482"/>
    <w:rsid w:val="00B13D78"/>
    <w:rsid w:val="00B436FE"/>
    <w:rsid w:val="00B47FFC"/>
    <w:rsid w:val="00B55D98"/>
    <w:rsid w:val="00B64F28"/>
    <w:rsid w:val="00B65EEF"/>
    <w:rsid w:val="00B74304"/>
    <w:rsid w:val="00B91208"/>
    <w:rsid w:val="00B92262"/>
    <w:rsid w:val="00BB6EA5"/>
    <w:rsid w:val="00BC6542"/>
    <w:rsid w:val="00BE70D1"/>
    <w:rsid w:val="00C107F4"/>
    <w:rsid w:val="00C128FA"/>
    <w:rsid w:val="00C166D7"/>
    <w:rsid w:val="00C17808"/>
    <w:rsid w:val="00C63707"/>
    <w:rsid w:val="00C77C49"/>
    <w:rsid w:val="00C81511"/>
    <w:rsid w:val="00C96B6A"/>
    <w:rsid w:val="00CA1F21"/>
    <w:rsid w:val="00CA7C41"/>
    <w:rsid w:val="00CB6E74"/>
    <w:rsid w:val="00CC07B9"/>
    <w:rsid w:val="00CC6EB0"/>
    <w:rsid w:val="00CD73E6"/>
    <w:rsid w:val="00CE2D1E"/>
    <w:rsid w:val="00D24A99"/>
    <w:rsid w:val="00D37291"/>
    <w:rsid w:val="00D52FCE"/>
    <w:rsid w:val="00D542E8"/>
    <w:rsid w:val="00D5453C"/>
    <w:rsid w:val="00D56F6B"/>
    <w:rsid w:val="00D621D0"/>
    <w:rsid w:val="00D77A3C"/>
    <w:rsid w:val="00D805F2"/>
    <w:rsid w:val="00D85CDB"/>
    <w:rsid w:val="00DA135F"/>
    <w:rsid w:val="00DB6377"/>
    <w:rsid w:val="00DC7844"/>
    <w:rsid w:val="00DE774C"/>
    <w:rsid w:val="00E00937"/>
    <w:rsid w:val="00E01D3A"/>
    <w:rsid w:val="00E10115"/>
    <w:rsid w:val="00E2458D"/>
    <w:rsid w:val="00E51CC7"/>
    <w:rsid w:val="00E54EED"/>
    <w:rsid w:val="00E72E0C"/>
    <w:rsid w:val="00E86C58"/>
    <w:rsid w:val="00EA1183"/>
    <w:rsid w:val="00EA3843"/>
    <w:rsid w:val="00EA6014"/>
    <w:rsid w:val="00EA62D7"/>
    <w:rsid w:val="00EA7E01"/>
    <w:rsid w:val="00EB08A9"/>
    <w:rsid w:val="00EB237A"/>
    <w:rsid w:val="00EC3F83"/>
    <w:rsid w:val="00EF5ED5"/>
    <w:rsid w:val="00F021A1"/>
    <w:rsid w:val="00F05203"/>
    <w:rsid w:val="00F2068D"/>
    <w:rsid w:val="00F265D6"/>
    <w:rsid w:val="00F33166"/>
    <w:rsid w:val="00F5285A"/>
    <w:rsid w:val="00F53094"/>
    <w:rsid w:val="00F646A1"/>
    <w:rsid w:val="00F83D1C"/>
    <w:rsid w:val="00FA2E3A"/>
    <w:rsid w:val="00FA2EE7"/>
    <w:rsid w:val="00FA5B63"/>
    <w:rsid w:val="00FB1548"/>
    <w:rsid w:val="00FB4B62"/>
    <w:rsid w:val="00FB7A77"/>
    <w:rsid w:val="00FC40D1"/>
    <w:rsid w:val="00FC5F56"/>
    <w:rsid w:val="00FD032E"/>
    <w:rsid w:val="00FD4A7B"/>
    <w:rsid w:val="00FD5EE0"/>
    <w:rsid w:val="00FE5B9D"/>
    <w:rsid w:val="00FF2F64"/>
    <w:rsid w:val="00FF5EA0"/>
    <w:rsid w:val="070519D5"/>
    <w:rsid w:val="0A323E60"/>
    <w:rsid w:val="0A461515"/>
    <w:rsid w:val="0D33653A"/>
    <w:rsid w:val="113C7F4E"/>
    <w:rsid w:val="13C6161B"/>
    <w:rsid w:val="181C5855"/>
    <w:rsid w:val="19F8608D"/>
    <w:rsid w:val="1EFC317A"/>
    <w:rsid w:val="1FD1227A"/>
    <w:rsid w:val="23E74C33"/>
    <w:rsid w:val="27274D6D"/>
    <w:rsid w:val="290F0F12"/>
    <w:rsid w:val="2C19452D"/>
    <w:rsid w:val="2CA82B03"/>
    <w:rsid w:val="2D042D03"/>
    <w:rsid w:val="2E8C4480"/>
    <w:rsid w:val="2EED3F38"/>
    <w:rsid w:val="307964C9"/>
    <w:rsid w:val="3450511E"/>
    <w:rsid w:val="34AC20C7"/>
    <w:rsid w:val="37D509E5"/>
    <w:rsid w:val="38E07FB3"/>
    <w:rsid w:val="3AF95225"/>
    <w:rsid w:val="3F5C661A"/>
    <w:rsid w:val="3FEB3EB8"/>
    <w:rsid w:val="41AF7E19"/>
    <w:rsid w:val="425012F0"/>
    <w:rsid w:val="42E44775"/>
    <w:rsid w:val="45475D7C"/>
    <w:rsid w:val="4B8F3130"/>
    <w:rsid w:val="4BF556C1"/>
    <w:rsid w:val="4C045D02"/>
    <w:rsid w:val="4F8B5508"/>
    <w:rsid w:val="504B4F3C"/>
    <w:rsid w:val="50546DA2"/>
    <w:rsid w:val="54DD48EB"/>
    <w:rsid w:val="55D3319D"/>
    <w:rsid w:val="5B367A53"/>
    <w:rsid w:val="5C727963"/>
    <w:rsid w:val="5FE95136"/>
    <w:rsid w:val="611B2D5E"/>
    <w:rsid w:val="623F48B3"/>
    <w:rsid w:val="70394C4A"/>
    <w:rsid w:val="7291323F"/>
    <w:rsid w:val="74B356D7"/>
    <w:rsid w:val="77790EFF"/>
    <w:rsid w:val="781868D6"/>
    <w:rsid w:val="7D7F7E81"/>
    <w:rsid w:val="7FF7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table" w:customStyle="1" w:styleId="9">
    <w:name w:val="TableGrid"/>
    <w:qFormat/>
    <w:uiPriority w:val="0"/>
    <w:tblPr>
      <w:tblLayout w:type="fixed"/>
      <w:tblCellMar>
        <w:top w:w="0" w:type="dxa"/>
        <w:left w:w="0" w:type="dxa"/>
        <w:bottom w:w="0" w:type="dxa"/>
        <w:right w:w="0" w:type="dxa"/>
      </w:tblCellMar>
    </w:tbl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QN</Company>
  <Pages>4</Pages>
  <Words>389</Words>
  <Characters>2218</Characters>
  <Lines>18</Lines>
  <Paragraphs>5</Paragraphs>
  <TotalTime>639</TotalTime>
  <ScaleCrop>false</ScaleCrop>
  <LinksUpToDate>false</LinksUpToDate>
  <CharactersWithSpaces>2602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2025-06-20T09:06:00Z</dcterms:created>
  <dc:creator>HYC_财务部_任艺男</dc:creator>
  <cp:lastModifiedBy>zyp</cp:lastModifiedBy>
  <dcterms:modified xsi:type="dcterms:W3CDTF">2025-10-30T08:56:22Z</dcterms:modified>
  <dc:title>证券代码：688328                                    证券简称：深科达</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