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A53C6" w14:textId="77777777" w:rsidR="000127CF" w:rsidRDefault="00CB1132">
      <w:pPr>
        <w:spacing w:afterLines="50" w:after="156" w:line="400" w:lineRule="exact"/>
        <w:jc w:val="center"/>
        <w:rPr>
          <w:rFonts w:ascii="宋体" w:hAnsi="宋体"/>
          <w:bCs/>
          <w:iCs/>
          <w:color w:val="000000"/>
          <w:sz w:val="24"/>
        </w:rPr>
      </w:pPr>
      <w:r>
        <w:rPr>
          <w:rFonts w:ascii="宋体" w:hAnsi="宋体" w:hint="eastAsia"/>
          <w:bCs/>
          <w:iCs/>
          <w:color w:val="000000"/>
          <w:sz w:val="24"/>
        </w:rPr>
        <w:t>证券代码：</w:t>
      </w:r>
      <w:r>
        <w:rPr>
          <w:rFonts w:ascii="宋体" w:hAnsi="宋体" w:hint="eastAsia"/>
          <w:bCs/>
          <w:iCs/>
          <w:color w:val="000000"/>
          <w:sz w:val="24"/>
        </w:rPr>
        <w:t xml:space="preserve"> </w:t>
      </w:r>
      <w:r>
        <w:rPr>
          <w:bCs/>
          <w:iCs/>
          <w:color w:val="000000"/>
          <w:sz w:val="24"/>
        </w:rPr>
        <w:t>688277</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 xml:space="preserve">        </w:t>
      </w:r>
      <w:r>
        <w:rPr>
          <w:rFonts w:ascii="宋体" w:hAnsi="宋体" w:hint="eastAsia"/>
          <w:bCs/>
          <w:iCs/>
          <w:color w:val="000000"/>
          <w:sz w:val="24"/>
        </w:rPr>
        <w:t>证券简称：天智航</w:t>
      </w:r>
      <w:r>
        <w:rPr>
          <w:rFonts w:ascii="宋体" w:hAnsi="宋体" w:hint="eastAsia"/>
          <w:bCs/>
          <w:iCs/>
          <w:color w:val="000000"/>
          <w:sz w:val="24"/>
        </w:rPr>
        <w:t xml:space="preserve"> </w:t>
      </w:r>
    </w:p>
    <w:p w14:paraId="427217A7" w14:textId="77777777" w:rsidR="000127CF" w:rsidRDefault="00CB1132">
      <w:pPr>
        <w:spacing w:beforeLines="200" w:before="624"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北京天智航医疗科技股份有限公司</w:t>
      </w:r>
    </w:p>
    <w:p w14:paraId="7C1313D2" w14:textId="77777777" w:rsidR="000127CF" w:rsidRDefault="00CB1132">
      <w:pPr>
        <w:spacing w:beforeLines="50" w:before="156" w:afterLines="100" w:after="312"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14:paraId="6045F6B8" w14:textId="77777777" w:rsidR="000127CF" w:rsidRDefault="00CB1132">
      <w:pPr>
        <w:spacing w:line="400" w:lineRule="exact"/>
        <w:rPr>
          <w:bCs/>
          <w:iCs/>
          <w:color w:val="000000"/>
          <w:sz w:val="24"/>
        </w:rPr>
      </w:pPr>
      <w:r>
        <w:rPr>
          <w:rFonts w:ascii="宋体" w:hAnsi="宋体" w:hint="eastAsia"/>
          <w:bCs/>
          <w:iCs/>
          <w:color w:val="000000"/>
          <w:sz w:val="24"/>
        </w:rPr>
        <w:t xml:space="preserve">                                                        </w:t>
      </w:r>
      <w:r>
        <w:rPr>
          <w:rFonts w:ascii="宋体" w:hAnsi="宋体" w:hint="eastAsia"/>
          <w:bCs/>
          <w:iCs/>
          <w:color w:val="000000"/>
          <w:sz w:val="24"/>
        </w:rPr>
        <w:t>编号：</w:t>
      </w:r>
      <w:r>
        <w:rPr>
          <w:bCs/>
          <w:iCs/>
          <w:color w:val="000000"/>
          <w:sz w:val="24"/>
        </w:rPr>
        <w:t>2025-006</w:t>
      </w:r>
    </w:p>
    <w:tbl>
      <w:tblPr>
        <w:tblW w:w="8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6720"/>
      </w:tblGrid>
      <w:tr w:rsidR="000127CF" w14:paraId="1094688F" w14:textId="77777777">
        <w:tc>
          <w:tcPr>
            <w:tcW w:w="1916" w:type="dxa"/>
            <w:vAlign w:val="center"/>
          </w:tcPr>
          <w:p w14:paraId="1706E46C" w14:textId="77777777" w:rsidR="000127CF" w:rsidRDefault="00CB1132">
            <w:pPr>
              <w:spacing w:line="480" w:lineRule="atLeast"/>
              <w:jc w:val="center"/>
              <w:rPr>
                <w:b/>
                <w:bCs/>
                <w:iCs/>
                <w:color w:val="000000"/>
                <w:sz w:val="24"/>
              </w:rPr>
            </w:pPr>
            <w:r>
              <w:rPr>
                <w:b/>
                <w:bCs/>
                <w:iCs/>
                <w:color w:val="000000"/>
                <w:sz w:val="24"/>
              </w:rPr>
              <w:t>投资者关系活动类别</w:t>
            </w:r>
          </w:p>
        </w:tc>
        <w:tc>
          <w:tcPr>
            <w:tcW w:w="6720" w:type="dxa"/>
          </w:tcPr>
          <w:p w14:paraId="0DB87849" w14:textId="77777777" w:rsidR="000127CF" w:rsidRDefault="00CB1132">
            <w:pPr>
              <w:spacing w:line="480" w:lineRule="atLeast"/>
              <w:rPr>
                <w:bCs/>
                <w:iCs/>
                <w:color w:val="000000"/>
                <w:sz w:val="24"/>
              </w:rPr>
            </w:pPr>
            <w:r>
              <w:rPr>
                <w:bCs/>
                <w:iCs/>
                <w:color w:val="000000"/>
                <w:sz w:val="24"/>
              </w:rPr>
              <w:t>□</w:t>
            </w:r>
            <w:r>
              <w:rPr>
                <w:bCs/>
                <w:iCs/>
                <w:color w:val="000000"/>
                <w:sz w:val="24"/>
              </w:rPr>
              <w:t>特定对象调研</w:t>
            </w:r>
            <w:r>
              <w:rPr>
                <w:bCs/>
                <w:iCs/>
                <w:color w:val="000000"/>
                <w:sz w:val="24"/>
              </w:rPr>
              <w:t xml:space="preserve">        □</w:t>
            </w:r>
            <w:r>
              <w:rPr>
                <w:bCs/>
                <w:iCs/>
                <w:color w:val="000000"/>
                <w:sz w:val="24"/>
              </w:rPr>
              <w:t>分析师会议</w:t>
            </w:r>
          </w:p>
          <w:p w14:paraId="3A153F74" w14:textId="77777777" w:rsidR="000127CF" w:rsidRDefault="00CB1132">
            <w:pPr>
              <w:spacing w:line="480" w:lineRule="atLeast"/>
              <w:rPr>
                <w:bCs/>
                <w:iCs/>
                <w:color w:val="000000"/>
                <w:sz w:val="24"/>
              </w:rPr>
            </w:pPr>
            <w:r>
              <w:rPr>
                <w:bCs/>
                <w:iCs/>
                <w:color w:val="000000"/>
                <w:sz w:val="24"/>
              </w:rPr>
              <w:t>□</w:t>
            </w:r>
            <w:r>
              <w:rPr>
                <w:bCs/>
                <w:iCs/>
                <w:color w:val="000000"/>
                <w:sz w:val="24"/>
              </w:rPr>
              <w:t>媒体采访</w:t>
            </w:r>
            <w:r>
              <w:rPr>
                <w:bCs/>
                <w:iCs/>
                <w:color w:val="000000"/>
                <w:sz w:val="24"/>
              </w:rPr>
              <w:t xml:space="preserve">            </w:t>
            </w:r>
            <w:r>
              <w:rPr>
                <w:bCs/>
                <w:iCs/>
                <w:color w:val="000000"/>
                <w:sz w:val="24"/>
              </w:rPr>
              <w:sym w:font="Wingdings 2" w:char="0052"/>
            </w:r>
            <w:r>
              <w:rPr>
                <w:bCs/>
                <w:iCs/>
                <w:color w:val="000000"/>
                <w:sz w:val="24"/>
              </w:rPr>
              <w:t>业绩说明会</w:t>
            </w:r>
          </w:p>
          <w:p w14:paraId="0686C423" w14:textId="77777777" w:rsidR="000127CF" w:rsidRDefault="00CB1132">
            <w:pPr>
              <w:spacing w:line="480" w:lineRule="atLeast"/>
              <w:rPr>
                <w:bCs/>
                <w:iCs/>
                <w:color w:val="000000"/>
                <w:sz w:val="24"/>
              </w:rPr>
            </w:pPr>
            <w:r>
              <w:rPr>
                <w:bCs/>
                <w:iCs/>
                <w:color w:val="000000"/>
                <w:sz w:val="24"/>
              </w:rPr>
              <w:t>□</w:t>
            </w:r>
            <w:r>
              <w:rPr>
                <w:bCs/>
                <w:iCs/>
                <w:color w:val="000000"/>
                <w:sz w:val="24"/>
              </w:rPr>
              <w:t>新闻发布会</w:t>
            </w:r>
            <w:r>
              <w:rPr>
                <w:bCs/>
                <w:iCs/>
                <w:color w:val="000000"/>
                <w:sz w:val="24"/>
              </w:rPr>
              <w:t xml:space="preserve">         </w:t>
            </w:r>
            <w:r>
              <w:rPr>
                <w:rFonts w:ascii="宋体" w:hAnsi="宋体"/>
                <w:bCs/>
                <w:iCs/>
                <w:color w:val="000000"/>
                <w:sz w:val="24"/>
              </w:rPr>
              <w:t xml:space="preserve"> </w:t>
            </w:r>
            <w:r>
              <w:rPr>
                <w:bCs/>
                <w:iCs/>
                <w:color w:val="000000"/>
                <w:sz w:val="24"/>
              </w:rPr>
              <w:t>□</w:t>
            </w:r>
            <w:r>
              <w:rPr>
                <w:rFonts w:ascii="宋体" w:hAnsi="宋体"/>
                <w:bCs/>
                <w:iCs/>
                <w:color w:val="000000"/>
                <w:sz w:val="24"/>
              </w:rPr>
              <w:t>路演活动</w:t>
            </w:r>
          </w:p>
          <w:p w14:paraId="019ACE47" w14:textId="77777777" w:rsidR="000127CF" w:rsidRDefault="00CB1132">
            <w:pPr>
              <w:tabs>
                <w:tab w:val="left" w:pos="3045"/>
                <w:tab w:val="center" w:pos="3199"/>
              </w:tabs>
              <w:spacing w:line="480" w:lineRule="atLeast"/>
              <w:rPr>
                <w:bCs/>
                <w:iCs/>
                <w:color w:val="000000"/>
                <w:sz w:val="24"/>
              </w:rPr>
            </w:pPr>
            <w:r>
              <w:rPr>
                <w:bCs/>
                <w:iCs/>
                <w:color w:val="000000"/>
                <w:sz w:val="24"/>
              </w:rPr>
              <w:t>□</w:t>
            </w:r>
            <w:r>
              <w:rPr>
                <w:iCs/>
                <w:color w:val="000000"/>
                <w:sz w:val="24"/>
              </w:rPr>
              <w:t>现场</w:t>
            </w:r>
            <w:r>
              <w:rPr>
                <w:rFonts w:hint="eastAsia"/>
                <w:iCs/>
                <w:color w:val="000000"/>
                <w:sz w:val="24"/>
              </w:rPr>
              <w:t>交流</w:t>
            </w:r>
            <w:r>
              <w:rPr>
                <w:iCs/>
                <w:color w:val="000000"/>
                <w:sz w:val="24"/>
              </w:rPr>
              <w:t xml:space="preserve"> </w:t>
            </w:r>
            <w:r>
              <w:rPr>
                <w:b/>
                <w:iCs/>
                <w:color w:val="000000"/>
                <w:sz w:val="24"/>
              </w:rPr>
              <w:t xml:space="preserve"> </w:t>
            </w:r>
            <w:r>
              <w:rPr>
                <w:bCs/>
                <w:iCs/>
                <w:color w:val="000000"/>
                <w:sz w:val="24"/>
              </w:rPr>
              <w:t xml:space="preserve">        </w:t>
            </w:r>
            <w:r>
              <w:rPr>
                <w:rFonts w:hint="eastAsia"/>
                <w:b/>
                <w:iCs/>
                <w:color w:val="000000"/>
                <w:sz w:val="24"/>
              </w:rPr>
              <w:t xml:space="preserve"> </w:t>
            </w:r>
            <w:r>
              <w:rPr>
                <w:rFonts w:hint="eastAsia"/>
                <w:b/>
                <w:iCs/>
                <w:color w:val="000000"/>
                <w:sz w:val="24"/>
              </w:rPr>
              <w:t xml:space="preserve"> </w:t>
            </w:r>
            <w:r>
              <w:rPr>
                <w:bCs/>
                <w:iCs/>
                <w:color w:val="000000"/>
                <w:sz w:val="24"/>
              </w:rPr>
              <w:t>□</w:t>
            </w:r>
            <w:r>
              <w:rPr>
                <w:bCs/>
                <w:iCs/>
                <w:color w:val="000000"/>
                <w:sz w:val="24"/>
              </w:rPr>
              <w:t>其他</w:t>
            </w:r>
          </w:p>
        </w:tc>
      </w:tr>
      <w:tr w:rsidR="000127CF" w14:paraId="4316AA3D" w14:textId="77777777">
        <w:trPr>
          <w:trHeight w:val="520"/>
        </w:trPr>
        <w:tc>
          <w:tcPr>
            <w:tcW w:w="1916" w:type="dxa"/>
            <w:vAlign w:val="center"/>
          </w:tcPr>
          <w:p w14:paraId="15E4C8C5" w14:textId="77777777" w:rsidR="000127CF" w:rsidRDefault="00CB1132">
            <w:pPr>
              <w:spacing w:line="480" w:lineRule="atLeast"/>
              <w:jc w:val="center"/>
              <w:rPr>
                <w:b/>
                <w:bCs/>
                <w:iCs/>
                <w:color w:val="000000"/>
                <w:sz w:val="24"/>
              </w:rPr>
            </w:pPr>
            <w:r>
              <w:rPr>
                <w:b/>
                <w:bCs/>
                <w:iCs/>
                <w:color w:val="000000"/>
                <w:sz w:val="24"/>
              </w:rPr>
              <w:t>参与单位名称</w:t>
            </w:r>
          </w:p>
        </w:tc>
        <w:tc>
          <w:tcPr>
            <w:tcW w:w="6720" w:type="dxa"/>
          </w:tcPr>
          <w:p w14:paraId="17640F54" w14:textId="77777777" w:rsidR="000127CF" w:rsidRDefault="00CB1132">
            <w:pPr>
              <w:spacing w:line="360" w:lineRule="auto"/>
              <w:jc w:val="left"/>
              <w:rPr>
                <w:bCs/>
                <w:iCs/>
                <w:color w:val="000000"/>
                <w:sz w:val="24"/>
              </w:rPr>
            </w:pPr>
            <w:r>
              <w:rPr>
                <w:rFonts w:hint="eastAsia"/>
                <w:bCs/>
                <w:iCs/>
                <w:color w:val="000000"/>
                <w:sz w:val="24"/>
              </w:rPr>
              <w:t>华创证券、百年保险资产管理、博远基金管理有限公司、创金合信管理有限公司、淳厚基金管理有限公司、东北证券股份有限公司、东方证券资产管理有限公司、东莞证券股份有限公司、方物基金、方正证券、光大保德信基金管理有限公司、光大证券股份有限公司、广东瑞天投资管理有限公司、广发基金管理有限公司、国盛证券、国泰海通、荷荷晴川私募证券投资基金、恒安标准人寿保险有限公司、华安证券、华福证券、汇丰晋信基金、嘉实基金管理有限责任公司、建信养老金管理有限责任公司、金信基金管理有限公司、金鹰基金管理有限公司、景顺长城基金</w:t>
            </w:r>
            <w:r>
              <w:rPr>
                <w:rFonts w:hint="eastAsia"/>
                <w:bCs/>
                <w:iCs/>
                <w:color w:val="000000"/>
                <w:sz w:val="24"/>
              </w:rPr>
              <w:t>管理有限公司、凯联资本、青榕资产管理有限公司、上海晨燕资产管理中心、上海和谐汇一资产管理有限公司、上海鲸航资产管理有限公司、尚石投资管理有限责任公司、深圳安瑞置业顾问有限公司、深圳前海固禾资产管理有限公司、深圳市前海海运通资产管理有限公司、深圳市尚诚资产管理有限责任公司、天弘基金管理有限公司、天治基金、西部证券、西南医药、信达澳亚基金管理有限公司、永安国富资产管理有限公司、云阳宜品、长江证券（上海）资产管理有限公司、肇万资产、中国人民健康保险有限公司、中泰证券、中信建投、中信期货有限公司、中信证券、中银国际</w:t>
            </w:r>
            <w:r>
              <w:rPr>
                <w:rFonts w:hint="eastAsia"/>
                <w:bCs/>
                <w:iCs/>
                <w:color w:val="000000"/>
                <w:sz w:val="24"/>
              </w:rPr>
              <w:t>自营、中邮证</w:t>
            </w:r>
            <w:r>
              <w:rPr>
                <w:rFonts w:hint="eastAsia"/>
                <w:bCs/>
                <w:iCs/>
                <w:color w:val="000000"/>
                <w:sz w:val="24"/>
              </w:rPr>
              <w:lastRenderedPageBreak/>
              <w:t>券</w:t>
            </w:r>
          </w:p>
        </w:tc>
      </w:tr>
      <w:tr w:rsidR="000127CF" w14:paraId="6BC38D2E" w14:textId="77777777">
        <w:tc>
          <w:tcPr>
            <w:tcW w:w="1916" w:type="dxa"/>
          </w:tcPr>
          <w:p w14:paraId="4FC838AC" w14:textId="77777777" w:rsidR="000127CF" w:rsidRDefault="00CB1132">
            <w:pPr>
              <w:spacing w:line="480" w:lineRule="atLeast"/>
              <w:jc w:val="center"/>
              <w:rPr>
                <w:b/>
                <w:bCs/>
                <w:iCs/>
                <w:color w:val="000000"/>
                <w:sz w:val="24"/>
              </w:rPr>
            </w:pPr>
            <w:r>
              <w:rPr>
                <w:b/>
                <w:bCs/>
                <w:iCs/>
                <w:color w:val="000000"/>
                <w:sz w:val="24"/>
              </w:rPr>
              <w:lastRenderedPageBreak/>
              <w:t>时间</w:t>
            </w:r>
          </w:p>
        </w:tc>
        <w:tc>
          <w:tcPr>
            <w:tcW w:w="6720" w:type="dxa"/>
            <w:vAlign w:val="center"/>
          </w:tcPr>
          <w:p w14:paraId="606B49C9" w14:textId="77777777" w:rsidR="000127CF" w:rsidRDefault="00CB1132">
            <w:pPr>
              <w:spacing w:line="360" w:lineRule="auto"/>
              <w:rPr>
                <w:bCs/>
                <w:iCs/>
                <w:color w:val="000000"/>
                <w:sz w:val="24"/>
              </w:rPr>
            </w:pPr>
            <w:r>
              <w:rPr>
                <w:bCs/>
                <w:iCs/>
                <w:color w:val="000000"/>
                <w:sz w:val="24"/>
              </w:rPr>
              <w:t>2025</w:t>
            </w:r>
            <w:r>
              <w:rPr>
                <w:bCs/>
                <w:iCs/>
                <w:color w:val="000000"/>
                <w:sz w:val="24"/>
              </w:rPr>
              <w:t>年</w:t>
            </w:r>
            <w:r>
              <w:rPr>
                <w:bCs/>
                <w:iCs/>
                <w:color w:val="000000"/>
                <w:sz w:val="24"/>
              </w:rPr>
              <w:t>10</w:t>
            </w:r>
            <w:r>
              <w:rPr>
                <w:rFonts w:hint="eastAsia"/>
                <w:bCs/>
                <w:iCs/>
                <w:color w:val="000000"/>
                <w:sz w:val="24"/>
              </w:rPr>
              <w:t>月</w:t>
            </w:r>
            <w:r>
              <w:rPr>
                <w:bCs/>
                <w:iCs/>
                <w:color w:val="000000"/>
                <w:sz w:val="24"/>
              </w:rPr>
              <w:t>30</w:t>
            </w:r>
            <w:r>
              <w:rPr>
                <w:rFonts w:hint="eastAsia"/>
                <w:bCs/>
                <w:iCs/>
                <w:color w:val="000000"/>
                <w:sz w:val="24"/>
              </w:rPr>
              <w:t>日</w:t>
            </w:r>
          </w:p>
        </w:tc>
      </w:tr>
      <w:tr w:rsidR="000127CF" w14:paraId="118534C1" w14:textId="77777777">
        <w:trPr>
          <w:trHeight w:val="510"/>
        </w:trPr>
        <w:tc>
          <w:tcPr>
            <w:tcW w:w="1916" w:type="dxa"/>
          </w:tcPr>
          <w:p w14:paraId="7890A635" w14:textId="77777777" w:rsidR="000127CF" w:rsidRDefault="00CB1132">
            <w:pPr>
              <w:spacing w:line="480" w:lineRule="atLeast"/>
              <w:jc w:val="center"/>
              <w:rPr>
                <w:b/>
                <w:bCs/>
                <w:iCs/>
                <w:color w:val="000000"/>
                <w:sz w:val="24"/>
              </w:rPr>
            </w:pPr>
            <w:r>
              <w:rPr>
                <w:b/>
                <w:bCs/>
                <w:iCs/>
                <w:color w:val="000000"/>
                <w:sz w:val="24"/>
              </w:rPr>
              <w:t>地点</w:t>
            </w:r>
          </w:p>
        </w:tc>
        <w:tc>
          <w:tcPr>
            <w:tcW w:w="6720" w:type="dxa"/>
            <w:vAlign w:val="center"/>
          </w:tcPr>
          <w:p w14:paraId="3489F14E" w14:textId="77777777" w:rsidR="000127CF" w:rsidRDefault="00CB1132">
            <w:pPr>
              <w:spacing w:line="360" w:lineRule="auto"/>
              <w:rPr>
                <w:bCs/>
                <w:iCs/>
                <w:color w:val="000000"/>
                <w:sz w:val="24"/>
              </w:rPr>
            </w:pPr>
            <w:r>
              <w:rPr>
                <w:rFonts w:hint="eastAsia"/>
                <w:bCs/>
                <w:iCs/>
                <w:color w:val="000000"/>
                <w:sz w:val="24"/>
              </w:rPr>
              <w:t>线上</w:t>
            </w:r>
          </w:p>
        </w:tc>
      </w:tr>
      <w:tr w:rsidR="000127CF" w14:paraId="09F8ECBE" w14:textId="77777777">
        <w:trPr>
          <w:trHeight w:val="1178"/>
        </w:trPr>
        <w:tc>
          <w:tcPr>
            <w:tcW w:w="1916" w:type="dxa"/>
            <w:vAlign w:val="center"/>
          </w:tcPr>
          <w:p w14:paraId="49605E76" w14:textId="77777777" w:rsidR="000127CF" w:rsidRDefault="00CB1132">
            <w:pPr>
              <w:spacing w:line="480" w:lineRule="atLeast"/>
              <w:jc w:val="center"/>
              <w:rPr>
                <w:b/>
                <w:bCs/>
                <w:iCs/>
                <w:color w:val="000000"/>
                <w:sz w:val="24"/>
              </w:rPr>
            </w:pPr>
            <w:r>
              <w:rPr>
                <w:b/>
                <w:bCs/>
                <w:iCs/>
                <w:color w:val="000000"/>
                <w:sz w:val="24"/>
              </w:rPr>
              <w:t>上市公司</w:t>
            </w:r>
          </w:p>
          <w:p w14:paraId="73E53373" w14:textId="77777777" w:rsidR="000127CF" w:rsidRDefault="00CB1132">
            <w:pPr>
              <w:spacing w:line="480" w:lineRule="atLeast"/>
              <w:jc w:val="center"/>
              <w:rPr>
                <w:b/>
                <w:bCs/>
                <w:iCs/>
                <w:color w:val="000000"/>
                <w:sz w:val="24"/>
              </w:rPr>
            </w:pPr>
            <w:r>
              <w:rPr>
                <w:b/>
                <w:bCs/>
                <w:iCs/>
                <w:color w:val="000000"/>
                <w:sz w:val="24"/>
              </w:rPr>
              <w:t>接待人员姓名</w:t>
            </w:r>
          </w:p>
        </w:tc>
        <w:tc>
          <w:tcPr>
            <w:tcW w:w="6720" w:type="dxa"/>
            <w:vAlign w:val="center"/>
          </w:tcPr>
          <w:p w14:paraId="01C15F59" w14:textId="77777777" w:rsidR="000127CF" w:rsidRDefault="00CB1132">
            <w:pPr>
              <w:spacing w:line="360" w:lineRule="auto"/>
              <w:rPr>
                <w:rFonts w:ascii="宋体" w:hAnsi="宋体"/>
                <w:sz w:val="24"/>
              </w:rPr>
            </w:pPr>
            <w:r>
              <w:rPr>
                <w:rFonts w:ascii="宋体" w:hAnsi="宋体"/>
                <w:sz w:val="24"/>
              </w:rPr>
              <w:t>黄军辉</w:t>
            </w:r>
            <w:r>
              <w:rPr>
                <w:rFonts w:ascii="宋体" w:hAnsi="宋体" w:hint="eastAsia"/>
                <w:sz w:val="24"/>
              </w:rPr>
              <w:t xml:space="preserve"> </w:t>
            </w:r>
            <w:r>
              <w:rPr>
                <w:rFonts w:ascii="宋体" w:hAnsi="宋体"/>
                <w:sz w:val="24"/>
              </w:rPr>
              <w:t xml:space="preserve"> </w:t>
            </w:r>
            <w:r>
              <w:rPr>
                <w:rFonts w:ascii="宋体" w:hAnsi="宋体"/>
                <w:sz w:val="24"/>
              </w:rPr>
              <w:t>董事会秘书</w:t>
            </w:r>
            <w:r>
              <w:rPr>
                <w:rFonts w:ascii="宋体" w:hAnsi="宋体" w:hint="eastAsia"/>
                <w:sz w:val="24"/>
              </w:rPr>
              <w:t xml:space="preserve"> </w:t>
            </w:r>
            <w:r>
              <w:rPr>
                <w:rFonts w:ascii="宋体" w:hAnsi="宋体"/>
                <w:sz w:val="24"/>
              </w:rPr>
              <w:t xml:space="preserve"> </w:t>
            </w:r>
          </w:p>
          <w:p w14:paraId="71E361B7" w14:textId="77777777" w:rsidR="000127CF" w:rsidRDefault="00CB1132">
            <w:pPr>
              <w:spacing w:line="360" w:lineRule="auto"/>
              <w:rPr>
                <w:bCs/>
                <w:iCs/>
                <w:color w:val="000000"/>
                <w:sz w:val="24"/>
              </w:rPr>
            </w:pPr>
            <w:r>
              <w:rPr>
                <w:rFonts w:ascii="宋体" w:hAnsi="宋体" w:hint="eastAsia"/>
                <w:sz w:val="24"/>
              </w:rPr>
              <w:t>薛</w:t>
            </w:r>
            <w:r>
              <w:rPr>
                <w:rFonts w:ascii="宋体" w:hAnsi="宋体" w:hint="eastAsia"/>
                <w:sz w:val="24"/>
              </w:rPr>
              <w:t xml:space="preserve"> </w:t>
            </w:r>
            <w:r>
              <w:rPr>
                <w:rFonts w:ascii="宋体" w:hAnsi="宋体"/>
                <w:sz w:val="24"/>
              </w:rPr>
              <w:t xml:space="preserve"> </w:t>
            </w:r>
            <w:r>
              <w:rPr>
                <w:rFonts w:ascii="宋体" w:hAnsi="宋体" w:hint="eastAsia"/>
                <w:sz w:val="24"/>
              </w:rPr>
              <w:t>妍</w:t>
            </w:r>
            <w:r>
              <w:rPr>
                <w:rFonts w:ascii="宋体" w:hAnsi="宋体" w:hint="eastAsia"/>
                <w:sz w:val="24"/>
              </w:rPr>
              <w:t xml:space="preserve"> </w:t>
            </w:r>
            <w:r>
              <w:rPr>
                <w:rFonts w:ascii="宋体" w:hAnsi="宋体"/>
                <w:sz w:val="24"/>
              </w:rPr>
              <w:t xml:space="preserve"> </w:t>
            </w:r>
            <w:r>
              <w:rPr>
                <w:rFonts w:ascii="宋体" w:hAnsi="宋体" w:hint="eastAsia"/>
                <w:sz w:val="24"/>
              </w:rPr>
              <w:t>投资者关系总监</w:t>
            </w:r>
            <w:r>
              <w:rPr>
                <w:rFonts w:ascii="宋体" w:hAnsi="宋体" w:hint="eastAsia"/>
                <w:sz w:val="24"/>
              </w:rPr>
              <w:t xml:space="preserve"> </w:t>
            </w:r>
            <w:r>
              <w:rPr>
                <w:rFonts w:ascii="宋体" w:hAnsi="宋体"/>
                <w:szCs w:val="21"/>
              </w:rPr>
              <w:t xml:space="preserve"> </w:t>
            </w:r>
          </w:p>
        </w:tc>
      </w:tr>
      <w:tr w:rsidR="000127CF" w14:paraId="22CBACF2" w14:textId="77777777">
        <w:trPr>
          <w:trHeight w:val="557"/>
        </w:trPr>
        <w:tc>
          <w:tcPr>
            <w:tcW w:w="1916" w:type="dxa"/>
            <w:vAlign w:val="center"/>
          </w:tcPr>
          <w:p w14:paraId="2C93A5EB" w14:textId="77777777" w:rsidR="000127CF" w:rsidRDefault="00CB1132">
            <w:pPr>
              <w:spacing w:line="480" w:lineRule="atLeast"/>
              <w:rPr>
                <w:b/>
                <w:bCs/>
                <w:iCs/>
                <w:color w:val="000000"/>
                <w:sz w:val="24"/>
              </w:rPr>
            </w:pPr>
            <w:r>
              <w:rPr>
                <w:b/>
                <w:bCs/>
                <w:iCs/>
                <w:color w:val="000000"/>
                <w:sz w:val="24"/>
              </w:rPr>
              <w:t>投资者关系活动主要内容介绍</w:t>
            </w:r>
          </w:p>
          <w:p w14:paraId="2FEE8B52" w14:textId="77777777" w:rsidR="000127CF" w:rsidRDefault="000127CF">
            <w:pPr>
              <w:spacing w:line="480" w:lineRule="atLeast"/>
              <w:rPr>
                <w:b/>
                <w:bCs/>
                <w:iCs/>
                <w:color w:val="000000"/>
                <w:sz w:val="24"/>
              </w:rPr>
            </w:pPr>
          </w:p>
        </w:tc>
        <w:tc>
          <w:tcPr>
            <w:tcW w:w="6720" w:type="dxa"/>
          </w:tcPr>
          <w:p w14:paraId="341FB31D" w14:textId="77777777" w:rsidR="000127CF" w:rsidRDefault="00CB1132">
            <w:pPr>
              <w:pStyle w:val="af1"/>
              <w:numPr>
                <w:ilvl w:val="0"/>
                <w:numId w:val="1"/>
              </w:numPr>
              <w:tabs>
                <w:tab w:val="left" w:pos="312"/>
              </w:tabs>
              <w:spacing w:beforeLines="50" w:before="156" w:line="360" w:lineRule="auto"/>
              <w:ind w:firstLineChars="0"/>
              <w:jc w:val="left"/>
              <w:rPr>
                <w:rFonts w:ascii="Times New Roman" w:eastAsia="宋体" w:hAnsi="Times New Roman" w:cs="Times New Roman"/>
                <w:b/>
                <w:bCs/>
                <w:sz w:val="24"/>
                <w:szCs w:val="24"/>
              </w:rPr>
            </w:pPr>
            <w:r>
              <w:rPr>
                <w:rFonts w:ascii="Times New Roman" w:eastAsia="宋体" w:hAnsi="Times New Roman" w:cs="Times New Roman"/>
                <w:b/>
                <w:iCs/>
                <w:color w:val="000000" w:themeColor="text1"/>
                <w:sz w:val="24"/>
                <w:szCs w:val="24"/>
              </w:rPr>
              <w:t>公司</w:t>
            </w:r>
            <w:r>
              <w:rPr>
                <w:rFonts w:ascii="Times New Roman" w:eastAsia="宋体" w:hAnsi="Times New Roman" w:cs="Times New Roman"/>
                <w:b/>
                <w:iCs/>
                <w:color w:val="000000" w:themeColor="text1"/>
                <w:sz w:val="24"/>
                <w:szCs w:val="24"/>
              </w:rPr>
              <w:t>2025</w:t>
            </w:r>
            <w:r>
              <w:rPr>
                <w:rFonts w:ascii="Times New Roman" w:eastAsia="宋体" w:hAnsi="Times New Roman" w:cs="Times New Roman"/>
                <w:b/>
                <w:iCs/>
                <w:color w:val="000000" w:themeColor="text1"/>
                <w:sz w:val="24"/>
                <w:szCs w:val="24"/>
              </w:rPr>
              <w:t>年</w:t>
            </w:r>
            <w:r>
              <w:rPr>
                <w:rFonts w:ascii="Times New Roman" w:eastAsia="宋体" w:hAnsi="Times New Roman" w:cs="Times New Roman" w:hint="eastAsia"/>
                <w:b/>
                <w:iCs/>
                <w:color w:val="000000" w:themeColor="text1"/>
                <w:sz w:val="24"/>
                <w:szCs w:val="24"/>
              </w:rPr>
              <w:t>1</w:t>
            </w:r>
            <w:r>
              <w:rPr>
                <w:rFonts w:ascii="Times New Roman" w:eastAsia="宋体" w:hAnsi="Times New Roman" w:cs="Times New Roman"/>
                <w:b/>
                <w:iCs/>
                <w:color w:val="000000" w:themeColor="text1"/>
                <w:sz w:val="24"/>
                <w:szCs w:val="24"/>
              </w:rPr>
              <w:t>-3</w:t>
            </w:r>
            <w:r>
              <w:rPr>
                <w:rFonts w:ascii="Times New Roman" w:eastAsia="宋体" w:hAnsi="Times New Roman" w:cs="Times New Roman" w:hint="eastAsia"/>
                <w:b/>
                <w:iCs/>
                <w:color w:val="000000" w:themeColor="text1"/>
                <w:sz w:val="24"/>
                <w:szCs w:val="24"/>
              </w:rPr>
              <w:t>季度</w:t>
            </w:r>
            <w:r>
              <w:rPr>
                <w:rFonts w:ascii="Times New Roman" w:eastAsia="宋体" w:hAnsi="Times New Roman" w:cs="Times New Roman"/>
                <w:b/>
                <w:iCs/>
                <w:color w:val="000000" w:themeColor="text1"/>
                <w:sz w:val="24"/>
                <w:szCs w:val="24"/>
              </w:rPr>
              <w:t>业绩情况？</w:t>
            </w:r>
          </w:p>
          <w:p w14:paraId="06D77CE7" w14:textId="13ECCCAB" w:rsidR="000127CF" w:rsidRDefault="00CB1132">
            <w:pPr>
              <w:spacing w:beforeLines="50" w:before="156" w:afterLines="50" w:after="156" w:line="360" w:lineRule="auto"/>
              <w:ind w:firstLineChars="202" w:firstLine="485"/>
              <w:rPr>
                <w:sz w:val="24"/>
              </w:rPr>
            </w:pPr>
            <w:r>
              <w:rPr>
                <w:sz w:val="24"/>
              </w:rPr>
              <w:t>2025</w:t>
            </w:r>
            <w:r>
              <w:rPr>
                <w:sz w:val="24"/>
              </w:rPr>
              <w:t>年</w:t>
            </w:r>
            <w:r>
              <w:rPr>
                <w:rFonts w:hint="eastAsia"/>
                <w:sz w:val="24"/>
              </w:rPr>
              <w:t>1</w:t>
            </w:r>
            <w:r>
              <w:rPr>
                <w:sz w:val="24"/>
              </w:rPr>
              <w:t>-3</w:t>
            </w:r>
            <w:r>
              <w:rPr>
                <w:rFonts w:hint="eastAsia"/>
                <w:sz w:val="24"/>
              </w:rPr>
              <w:t>季度</w:t>
            </w:r>
            <w:r>
              <w:rPr>
                <w:sz w:val="24"/>
              </w:rPr>
              <w:t>实现营业收入</w:t>
            </w:r>
            <w:r>
              <w:rPr>
                <w:rFonts w:hint="eastAsia"/>
                <w:sz w:val="24"/>
              </w:rPr>
              <w:t>约</w:t>
            </w:r>
            <w:r>
              <w:rPr>
                <w:sz w:val="24"/>
              </w:rPr>
              <w:t>1.87</w:t>
            </w:r>
            <w:r>
              <w:rPr>
                <w:sz w:val="24"/>
              </w:rPr>
              <w:t>亿</w:t>
            </w:r>
            <w:r>
              <w:rPr>
                <w:rFonts w:hint="eastAsia"/>
                <w:sz w:val="24"/>
              </w:rPr>
              <w:t>元</w:t>
            </w:r>
            <w:r>
              <w:rPr>
                <w:sz w:val="24"/>
              </w:rPr>
              <w:t>，较上年同期增长</w:t>
            </w:r>
            <w:r>
              <w:rPr>
                <w:sz w:val="24"/>
              </w:rPr>
              <w:t>103.51%</w:t>
            </w:r>
            <w:r>
              <w:rPr>
                <w:sz w:val="24"/>
              </w:rPr>
              <w:t>。</w:t>
            </w:r>
            <w:r>
              <w:rPr>
                <w:rFonts w:hint="eastAsia"/>
                <w:sz w:val="24"/>
              </w:rPr>
              <w:t>得益于今年行业招投标活动逐步恢复带动行业回暖，公司营业收入高速</w:t>
            </w:r>
            <w:r>
              <w:rPr>
                <w:sz w:val="24"/>
              </w:rPr>
              <w:t>增长</w:t>
            </w:r>
            <w:r>
              <w:rPr>
                <w:sz w:val="24"/>
              </w:rPr>
              <w:t>。</w:t>
            </w:r>
          </w:p>
          <w:p w14:paraId="7281119A" w14:textId="39ADAE5E" w:rsidR="000127CF" w:rsidRDefault="00CB1132">
            <w:pPr>
              <w:spacing w:beforeLines="50" w:before="156" w:afterLines="50" w:after="156" w:line="360" w:lineRule="auto"/>
              <w:ind w:firstLineChars="202" w:firstLine="485"/>
              <w:rPr>
                <w:sz w:val="24"/>
              </w:rPr>
            </w:pPr>
            <w:r>
              <w:rPr>
                <w:rFonts w:hint="eastAsia"/>
                <w:sz w:val="24"/>
              </w:rPr>
              <w:t>相比过去机器人设备收入占据绝对主导，如今公司已形成机器人设备、配套设备及耗材、技术服务三大业务收入结构。</w:t>
            </w:r>
            <w:r>
              <w:rPr>
                <w:rFonts w:hint="eastAsia"/>
                <w:sz w:val="24"/>
              </w:rPr>
              <w:t>公司从一次性设备销售向持续提供服务的综合性商业模式转型取得显著成效，收入更加多元和稳定。叠加手术量逐年加速递增的趋势，公司未来收入的稳定性和可持续性正在增强。</w:t>
            </w:r>
          </w:p>
          <w:p w14:paraId="5E24DFD6" w14:textId="77777777" w:rsidR="000127CF" w:rsidRDefault="00CB1132">
            <w:pPr>
              <w:pStyle w:val="af1"/>
              <w:numPr>
                <w:ilvl w:val="0"/>
                <w:numId w:val="1"/>
              </w:numPr>
              <w:tabs>
                <w:tab w:val="left" w:pos="312"/>
              </w:tabs>
              <w:spacing w:beforeLines="50" w:before="156" w:line="360" w:lineRule="auto"/>
              <w:ind w:firstLineChars="0"/>
              <w:jc w:val="left"/>
              <w:rPr>
                <w:rFonts w:ascii="Times New Roman" w:eastAsia="宋体" w:hAnsi="Times New Roman" w:cs="Times New Roman"/>
                <w:b/>
                <w:iCs/>
                <w:color w:val="000000" w:themeColor="text1"/>
                <w:sz w:val="24"/>
                <w:szCs w:val="24"/>
              </w:rPr>
            </w:pPr>
            <w:r>
              <w:rPr>
                <w:rFonts w:ascii="Times New Roman" w:eastAsia="宋体" w:hAnsi="Times New Roman" w:cs="Times New Roman" w:hint="eastAsia"/>
                <w:b/>
                <w:iCs/>
                <w:color w:val="000000" w:themeColor="text1"/>
                <w:sz w:val="24"/>
                <w:szCs w:val="24"/>
              </w:rPr>
              <w:t>公司产品的市场应用情况？</w:t>
            </w:r>
          </w:p>
          <w:p w14:paraId="07D8AD7A" w14:textId="77777777" w:rsidR="000127CF" w:rsidRDefault="00CB1132">
            <w:pPr>
              <w:spacing w:beforeLines="50" w:before="156" w:afterLines="50" w:after="156" w:line="360" w:lineRule="auto"/>
              <w:ind w:firstLineChars="202" w:firstLine="485"/>
              <w:rPr>
                <w:sz w:val="24"/>
              </w:rPr>
            </w:pPr>
            <w:r>
              <w:rPr>
                <w:rFonts w:hint="eastAsia"/>
                <w:sz w:val="24"/>
              </w:rPr>
              <w:t>骨科手术机器人手术量是衡量企业产品力、商业拓展能力、服务支撑能力、可持续发展能力的核心综合指标。公司始终以市场需求为导向，通过提升医生临床操作体验以及患者治疗获益，有效带动设备使用量的提升。</w:t>
            </w:r>
            <w:bookmarkStart w:id="0" w:name="_GoBack"/>
            <w:bookmarkEnd w:id="0"/>
          </w:p>
          <w:p w14:paraId="3FD812D6" w14:textId="77777777" w:rsidR="000127CF" w:rsidRDefault="00CB1132">
            <w:pPr>
              <w:spacing w:beforeLines="50" w:before="156" w:afterLines="50" w:after="156" w:line="360" w:lineRule="auto"/>
              <w:ind w:firstLineChars="202" w:firstLine="485"/>
              <w:rPr>
                <w:sz w:val="24"/>
              </w:rPr>
            </w:pPr>
            <w:r>
              <w:rPr>
                <w:rFonts w:hint="eastAsia"/>
                <w:sz w:val="24"/>
              </w:rPr>
              <w:t>2025</w:t>
            </w:r>
            <w:r>
              <w:rPr>
                <w:rFonts w:hint="eastAsia"/>
                <w:sz w:val="24"/>
              </w:rPr>
              <w:t>年第三季度，天玑骨科手术机器人开展手术数量超过</w:t>
            </w:r>
            <w:r>
              <w:rPr>
                <w:rFonts w:hint="eastAsia"/>
                <w:sz w:val="24"/>
              </w:rPr>
              <w:t>1.</w:t>
            </w:r>
            <w:r>
              <w:rPr>
                <w:sz w:val="24"/>
              </w:rPr>
              <w:t>2</w:t>
            </w:r>
            <w:r>
              <w:rPr>
                <w:rFonts w:hint="eastAsia"/>
                <w:sz w:val="24"/>
              </w:rPr>
              <w:t>万例。</w:t>
            </w:r>
            <w:r>
              <w:rPr>
                <w:sz w:val="24"/>
              </w:rPr>
              <w:t>2025</w:t>
            </w:r>
            <w:r>
              <w:rPr>
                <w:sz w:val="24"/>
              </w:rPr>
              <w:t>年</w:t>
            </w:r>
            <w:r>
              <w:rPr>
                <w:rFonts w:hint="eastAsia"/>
                <w:sz w:val="24"/>
              </w:rPr>
              <w:t>1</w:t>
            </w:r>
            <w:r>
              <w:rPr>
                <w:sz w:val="24"/>
              </w:rPr>
              <w:t>-3</w:t>
            </w:r>
            <w:r>
              <w:rPr>
                <w:rFonts w:hint="eastAsia"/>
                <w:sz w:val="24"/>
              </w:rPr>
              <w:t>季度，天玑骨科手术机器人开展手术数量超过</w:t>
            </w:r>
            <w:r>
              <w:rPr>
                <w:sz w:val="24"/>
              </w:rPr>
              <w:t>3</w:t>
            </w:r>
            <w:r>
              <w:rPr>
                <w:rFonts w:hint="eastAsia"/>
                <w:sz w:val="24"/>
              </w:rPr>
              <w:t>.</w:t>
            </w:r>
            <w:r>
              <w:rPr>
                <w:sz w:val="24"/>
              </w:rPr>
              <w:t>5</w:t>
            </w:r>
            <w:r>
              <w:rPr>
                <w:rFonts w:hint="eastAsia"/>
                <w:sz w:val="24"/>
              </w:rPr>
              <w:t>万例</w:t>
            </w:r>
            <w:r>
              <w:rPr>
                <w:rFonts w:hint="eastAsia"/>
                <w:sz w:val="24"/>
              </w:rPr>
              <w:t>。截至</w:t>
            </w:r>
            <w:r>
              <w:rPr>
                <w:rFonts w:hint="eastAsia"/>
                <w:sz w:val="24"/>
              </w:rPr>
              <w:t>2</w:t>
            </w:r>
            <w:r>
              <w:rPr>
                <w:sz w:val="24"/>
              </w:rPr>
              <w:t>025</w:t>
            </w:r>
            <w:r>
              <w:rPr>
                <w:rFonts w:hint="eastAsia"/>
                <w:sz w:val="24"/>
              </w:rPr>
              <w:t>年第三季度末，天玑骨科手术机器人累计开展手术数量超过</w:t>
            </w:r>
            <w:r>
              <w:rPr>
                <w:rFonts w:hint="eastAsia"/>
                <w:sz w:val="24"/>
              </w:rPr>
              <w:t>13</w:t>
            </w:r>
            <w:r>
              <w:rPr>
                <w:rFonts w:hint="eastAsia"/>
                <w:sz w:val="24"/>
              </w:rPr>
              <w:t>万例。</w:t>
            </w:r>
          </w:p>
          <w:p w14:paraId="46D80B55" w14:textId="77777777" w:rsidR="000127CF" w:rsidRDefault="00CB1132">
            <w:pPr>
              <w:spacing w:beforeLines="50" w:before="156" w:afterLines="50" w:after="156" w:line="360" w:lineRule="auto"/>
              <w:ind w:firstLineChars="202" w:firstLine="485"/>
              <w:rPr>
                <w:sz w:val="24"/>
              </w:rPr>
            </w:pPr>
            <w:r>
              <w:rPr>
                <w:sz w:val="24"/>
              </w:rPr>
              <w:t>手术量的稳步提升是公司产品临床价值和市场接受度提高的直接体现</w:t>
            </w:r>
            <w:r>
              <w:rPr>
                <w:rFonts w:hint="eastAsia"/>
                <w:sz w:val="24"/>
              </w:rPr>
              <w:t>，</w:t>
            </w:r>
            <w:r>
              <w:rPr>
                <w:sz w:val="24"/>
              </w:rPr>
              <w:t>将推动公司发展进入良性循环。</w:t>
            </w:r>
            <w:r>
              <w:rPr>
                <w:rFonts w:hint="eastAsia"/>
                <w:sz w:val="24"/>
              </w:rPr>
              <w:t>未来随着手术量</w:t>
            </w:r>
            <w:r>
              <w:rPr>
                <w:rFonts w:hint="eastAsia"/>
                <w:sz w:val="24"/>
              </w:rPr>
              <w:t>的进一步攀升，公司将构筑起更强的竞争壁垒。</w:t>
            </w:r>
          </w:p>
          <w:p w14:paraId="14711FE0" w14:textId="77777777" w:rsidR="000127CF" w:rsidRDefault="00CB1132">
            <w:pPr>
              <w:pStyle w:val="af1"/>
              <w:numPr>
                <w:ilvl w:val="0"/>
                <w:numId w:val="1"/>
              </w:numPr>
              <w:tabs>
                <w:tab w:val="left" w:pos="312"/>
              </w:tabs>
              <w:spacing w:beforeLines="50" w:before="156" w:line="360" w:lineRule="auto"/>
              <w:ind w:firstLineChars="0"/>
              <w:jc w:val="left"/>
              <w:rPr>
                <w:rFonts w:ascii="Times New Roman" w:eastAsia="宋体" w:hAnsi="Times New Roman" w:cs="Times New Roman"/>
                <w:b/>
                <w:iCs/>
                <w:color w:val="000000" w:themeColor="text1"/>
                <w:sz w:val="24"/>
                <w:szCs w:val="24"/>
              </w:rPr>
            </w:pPr>
            <w:r>
              <w:rPr>
                <w:rFonts w:ascii="Times New Roman" w:eastAsia="宋体" w:hAnsi="Times New Roman" w:cs="Times New Roman" w:hint="eastAsia"/>
                <w:b/>
                <w:iCs/>
                <w:color w:val="000000" w:themeColor="text1"/>
                <w:sz w:val="24"/>
                <w:szCs w:val="24"/>
              </w:rPr>
              <w:lastRenderedPageBreak/>
              <w:t>手术机器人商业化落地困难一直是行业痛点，公司如何解决这一问题？</w:t>
            </w:r>
          </w:p>
          <w:p w14:paraId="52E09C4E" w14:textId="77777777" w:rsidR="000127CF" w:rsidRDefault="00CB1132">
            <w:pPr>
              <w:spacing w:beforeLines="50" w:before="156" w:afterLines="50" w:after="156" w:line="360" w:lineRule="auto"/>
              <w:ind w:firstLineChars="202" w:firstLine="485"/>
              <w:rPr>
                <w:sz w:val="24"/>
              </w:rPr>
            </w:pPr>
            <w:r>
              <w:rPr>
                <w:rFonts w:hint="eastAsia"/>
                <w:sz w:val="24"/>
              </w:rPr>
              <w:t>作为行业的先行者，公司一直在探索手术机器人商业化落地的不同解决方案。目前，公司一方面通过探索新的商业模式解决手术机器人“入院”难的问题，在政府的支持下，进行了“购买技术服务”等新模式的尝试。这种模式大大降低了医疗机构一次性投入成本，提高了手术机器人的可及性，未来将大力推进“购买技术服务”模式装机入院。</w:t>
            </w:r>
          </w:p>
          <w:p w14:paraId="29A7774E" w14:textId="77777777" w:rsidR="000127CF" w:rsidRDefault="00CB1132">
            <w:pPr>
              <w:spacing w:beforeLines="50" w:before="156" w:afterLines="50" w:after="156" w:line="360" w:lineRule="auto"/>
              <w:ind w:firstLineChars="202" w:firstLine="485"/>
              <w:rPr>
                <w:sz w:val="24"/>
              </w:rPr>
            </w:pPr>
            <w:r>
              <w:rPr>
                <w:rFonts w:hint="eastAsia"/>
                <w:sz w:val="24"/>
              </w:rPr>
              <w:t>另一方面，也通过积极推进出海战略寻找商业化落地新的增长点。公司围绕既定出海战略开展工作，积极参与海外</w:t>
            </w:r>
            <w:r>
              <w:rPr>
                <w:rFonts w:hint="eastAsia"/>
                <w:sz w:val="24"/>
              </w:rPr>
              <w:t>展会，全面展示公司的技术创新成果、产品矩阵、综合实力，多渠道拓展海外业务，稳步构建国际业务网络。根据海外目标市场的不同特点制定差异化的市场策略，不断强化自身国际市场竞争力，提升公司产品的国际影响力。</w:t>
            </w:r>
          </w:p>
          <w:p w14:paraId="66AF4FE6" w14:textId="77777777" w:rsidR="000127CF" w:rsidRDefault="00CB1132">
            <w:pPr>
              <w:pStyle w:val="af1"/>
              <w:numPr>
                <w:ilvl w:val="0"/>
                <w:numId w:val="1"/>
              </w:numPr>
              <w:tabs>
                <w:tab w:val="left" w:pos="312"/>
              </w:tabs>
              <w:spacing w:beforeLines="50" w:before="156" w:line="360" w:lineRule="auto"/>
              <w:ind w:firstLineChars="0"/>
              <w:jc w:val="left"/>
              <w:rPr>
                <w:rFonts w:ascii="Times New Roman" w:eastAsia="宋体" w:hAnsi="Times New Roman" w:cs="Times New Roman"/>
                <w:b/>
                <w:iCs/>
                <w:color w:val="000000" w:themeColor="text1"/>
                <w:sz w:val="24"/>
                <w:szCs w:val="24"/>
              </w:rPr>
            </w:pPr>
            <w:r>
              <w:rPr>
                <w:rFonts w:ascii="Times New Roman" w:eastAsia="宋体" w:hAnsi="Times New Roman" w:cs="Times New Roman" w:hint="eastAsia"/>
                <w:b/>
                <w:iCs/>
                <w:color w:val="000000" w:themeColor="text1"/>
                <w:sz w:val="24"/>
                <w:szCs w:val="24"/>
              </w:rPr>
              <w:t>公司未来的发展战略是什么？</w:t>
            </w:r>
            <w:r>
              <w:rPr>
                <w:rFonts w:ascii="Times New Roman" w:eastAsia="宋体" w:hAnsi="Times New Roman" w:cs="Times New Roman"/>
                <w:b/>
                <w:iCs/>
                <w:color w:val="000000" w:themeColor="text1"/>
                <w:sz w:val="24"/>
                <w:szCs w:val="24"/>
              </w:rPr>
              <w:t xml:space="preserve"> </w:t>
            </w:r>
          </w:p>
          <w:p w14:paraId="78DC1C3E" w14:textId="77777777" w:rsidR="000127CF" w:rsidRDefault="00CB1132">
            <w:pPr>
              <w:spacing w:beforeLines="50" w:before="156" w:afterLines="50" w:after="156" w:line="360" w:lineRule="auto"/>
              <w:ind w:firstLineChars="202" w:firstLine="485"/>
              <w:rPr>
                <w:sz w:val="24"/>
              </w:rPr>
            </w:pPr>
            <w:r>
              <w:rPr>
                <w:rFonts w:hint="eastAsia"/>
                <w:sz w:val="24"/>
              </w:rPr>
              <w:t>未来，公司将继续秉持初心，聚焦骨科领域，致力于成为骨科解决方案公司。基于对骨科临床需求的深刻理解和挖掘，公司将围绕骨科领域，整合上下游资源，完善产业链布局。通过技术融合和创新，重塑骨科手术流程，打造更智能化、自动化、更多功能和应用场景覆盖的骨科手术平台。为医生提供更易用、更高效的产</w:t>
            </w:r>
            <w:r>
              <w:rPr>
                <w:rFonts w:hint="eastAsia"/>
                <w:sz w:val="24"/>
              </w:rPr>
              <w:t>品，为患者提供更安全、更精准的优质服务，引领行业发展，持续推动我国“智慧骨科”生态体系建设。</w:t>
            </w:r>
          </w:p>
        </w:tc>
      </w:tr>
      <w:tr w:rsidR="000127CF" w14:paraId="516F1444" w14:textId="77777777">
        <w:trPr>
          <w:trHeight w:val="557"/>
        </w:trPr>
        <w:tc>
          <w:tcPr>
            <w:tcW w:w="1916" w:type="dxa"/>
            <w:vAlign w:val="center"/>
          </w:tcPr>
          <w:p w14:paraId="7B817DB4" w14:textId="77777777" w:rsidR="000127CF" w:rsidRDefault="00CB1132">
            <w:pPr>
              <w:spacing w:line="252" w:lineRule="auto"/>
              <w:rPr>
                <w:b/>
                <w:bCs/>
                <w:iCs/>
                <w:color w:val="000000"/>
                <w:sz w:val="24"/>
              </w:rPr>
            </w:pPr>
            <w:r>
              <w:rPr>
                <w:rFonts w:hint="eastAsia"/>
                <w:b/>
                <w:bCs/>
                <w:iCs/>
                <w:color w:val="000000"/>
                <w:sz w:val="24"/>
              </w:rPr>
              <w:lastRenderedPageBreak/>
              <w:t>关于本次活动是否涉及应当披露重大信息的说明</w:t>
            </w:r>
          </w:p>
        </w:tc>
        <w:tc>
          <w:tcPr>
            <w:tcW w:w="6720" w:type="dxa"/>
          </w:tcPr>
          <w:p w14:paraId="0AAE86CB" w14:textId="77777777" w:rsidR="000127CF" w:rsidRDefault="00CB1132">
            <w:pPr>
              <w:tabs>
                <w:tab w:val="left" w:pos="312"/>
                <w:tab w:val="left" w:pos="3415"/>
              </w:tabs>
              <w:spacing w:beforeLines="50" w:before="156" w:line="440" w:lineRule="exact"/>
              <w:rPr>
                <w:rFonts w:eastAsiaTheme="minorEastAsia"/>
                <w:bCs/>
                <w:iCs/>
                <w:color w:val="000000" w:themeColor="text1"/>
                <w:sz w:val="24"/>
              </w:rPr>
            </w:pPr>
            <w:r>
              <w:rPr>
                <w:rFonts w:eastAsiaTheme="minorEastAsia" w:hint="eastAsia"/>
                <w:bCs/>
                <w:iCs/>
                <w:color w:val="000000" w:themeColor="text1"/>
                <w:sz w:val="24"/>
              </w:rPr>
              <w:t>不涉及</w:t>
            </w:r>
          </w:p>
        </w:tc>
      </w:tr>
    </w:tbl>
    <w:p w14:paraId="6C96C87A" w14:textId="77777777" w:rsidR="000127CF" w:rsidRDefault="000127CF">
      <w:pPr>
        <w:wordWrap w:val="0"/>
        <w:spacing w:line="360" w:lineRule="auto"/>
        <w:jc w:val="right"/>
        <w:rPr>
          <w:sz w:val="24"/>
        </w:rPr>
      </w:pPr>
    </w:p>
    <w:sectPr w:rsidR="000127CF">
      <w:pgSz w:w="11906" w:h="16838"/>
      <w:pgMar w:top="1440" w:right="1800" w:bottom="1440" w:left="1800"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24934"/>
    <w:multiLevelType w:val="multilevel"/>
    <w:tmpl w:val="2DB24934"/>
    <w:lvl w:ilvl="0">
      <w:start w:val="1"/>
      <w:numFmt w:val="decimal"/>
      <w:lvlText w:val="%1."/>
      <w:lvlJc w:val="left"/>
      <w:pPr>
        <w:ind w:left="360" w:hanging="360"/>
      </w:pPr>
      <w:rPr>
        <w:rFonts w:ascii="Times New Roman" w:hAnsi="Times New Roman" w:hint="default"/>
        <w:color w:val="000000" w:themeColor="text1"/>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1YjI2Y2EyMzMwMDMwYzNiZmFjNDQ1OGQ3OTBkM2IifQ=="/>
  </w:docVars>
  <w:rsids>
    <w:rsidRoot w:val="001B4B80"/>
    <w:rsid w:val="BFFFD8BE"/>
    <w:rsid w:val="00001D87"/>
    <w:rsid w:val="00005B18"/>
    <w:rsid w:val="000127CF"/>
    <w:rsid w:val="0004667F"/>
    <w:rsid w:val="0008744D"/>
    <w:rsid w:val="000A148F"/>
    <w:rsid w:val="000A4CF7"/>
    <w:rsid w:val="000B18B3"/>
    <w:rsid w:val="000C0A26"/>
    <w:rsid w:val="000E4897"/>
    <w:rsid w:val="000F3CF3"/>
    <w:rsid w:val="00134C9D"/>
    <w:rsid w:val="00135C45"/>
    <w:rsid w:val="001A3859"/>
    <w:rsid w:val="001A7497"/>
    <w:rsid w:val="001B07A7"/>
    <w:rsid w:val="001B154C"/>
    <w:rsid w:val="001B4B80"/>
    <w:rsid w:val="001C299E"/>
    <w:rsid w:val="001C46E6"/>
    <w:rsid w:val="001D4EBB"/>
    <w:rsid w:val="001E4216"/>
    <w:rsid w:val="001E7F21"/>
    <w:rsid w:val="001F6E61"/>
    <w:rsid w:val="002016F8"/>
    <w:rsid w:val="00203C8A"/>
    <w:rsid w:val="00206C54"/>
    <w:rsid w:val="002228EA"/>
    <w:rsid w:val="002458A4"/>
    <w:rsid w:val="0025275E"/>
    <w:rsid w:val="0026708E"/>
    <w:rsid w:val="00287092"/>
    <w:rsid w:val="00297F92"/>
    <w:rsid w:val="002B07A7"/>
    <w:rsid w:val="002B5592"/>
    <w:rsid w:val="002C0154"/>
    <w:rsid w:val="002C45E3"/>
    <w:rsid w:val="002D09C7"/>
    <w:rsid w:val="002F7A43"/>
    <w:rsid w:val="0030028B"/>
    <w:rsid w:val="003012BB"/>
    <w:rsid w:val="00312374"/>
    <w:rsid w:val="00313153"/>
    <w:rsid w:val="00316E17"/>
    <w:rsid w:val="00340596"/>
    <w:rsid w:val="0036372C"/>
    <w:rsid w:val="003641E4"/>
    <w:rsid w:val="00364D04"/>
    <w:rsid w:val="003B513B"/>
    <w:rsid w:val="003B6EB3"/>
    <w:rsid w:val="003D5A99"/>
    <w:rsid w:val="003E306D"/>
    <w:rsid w:val="003E3BBA"/>
    <w:rsid w:val="003E65AF"/>
    <w:rsid w:val="0040037C"/>
    <w:rsid w:val="00403F56"/>
    <w:rsid w:val="00424627"/>
    <w:rsid w:val="004404C9"/>
    <w:rsid w:val="00460623"/>
    <w:rsid w:val="00485151"/>
    <w:rsid w:val="004867CB"/>
    <w:rsid w:val="004955B7"/>
    <w:rsid w:val="004973D8"/>
    <w:rsid w:val="004B4A05"/>
    <w:rsid w:val="004E2B24"/>
    <w:rsid w:val="0050262E"/>
    <w:rsid w:val="00523D0C"/>
    <w:rsid w:val="00523FBF"/>
    <w:rsid w:val="005272DE"/>
    <w:rsid w:val="005539F4"/>
    <w:rsid w:val="00557186"/>
    <w:rsid w:val="00576774"/>
    <w:rsid w:val="00583715"/>
    <w:rsid w:val="00592830"/>
    <w:rsid w:val="005C6828"/>
    <w:rsid w:val="005D5923"/>
    <w:rsid w:val="005E0D2E"/>
    <w:rsid w:val="00620DA6"/>
    <w:rsid w:val="00626F24"/>
    <w:rsid w:val="00644AC9"/>
    <w:rsid w:val="00647BAE"/>
    <w:rsid w:val="00651F77"/>
    <w:rsid w:val="006577A9"/>
    <w:rsid w:val="006656B1"/>
    <w:rsid w:val="00671C49"/>
    <w:rsid w:val="00675835"/>
    <w:rsid w:val="00680C42"/>
    <w:rsid w:val="00697E21"/>
    <w:rsid w:val="006B2AEB"/>
    <w:rsid w:val="006B5B94"/>
    <w:rsid w:val="006D40CB"/>
    <w:rsid w:val="006E11D4"/>
    <w:rsid w:val="006F32A2"/>
    <w:rsid w:val="007271F9"/>
    <w:rsid w:val="00736448"/>
    <w:rsid w:val="007578EE"/>
    <w:rsid w:val="007714BE"/>
    <w:rsid w:val="00782C7A"/>
    <w:rsid w:val="00786945"/>
    <w:rsid w:val="007958EB"/>
    <w:rsid w:val="007B0C56"/>
    <w:rsid w:val="007C702B"/>
    <w:rsid w:val="007C7416"/>
    <w:rsid w:val="007C7A27"/>
    <w:rsid w:val="007D50EC"/>
    <w:rsid w:val="008020E4"/>
    <w:rsid w:val="00807797"/>
    <w:rsid w:val="00821571"/>
    <w:rsid w:val="00877050"/>
    <w:rsid w:val="008927B3"/>
    <w:rsid w:val="00893AD5"/>
    <w:rsid w:val="008A40AE"/>
    <w:rsid w:val="008B0F40"/>
    <w:rsid w:val="008B2E28"/>
    <w:rsid w:val="008B564E"/>
    <w:rsid w:val="008C2A9F"/>
    <w:rsid w:val="008E4F29"/>
    <w:rsid w:val="008F2321"/>
    <w:rsid w:val="00914ACD"/>
    <w:rsid w:val="00942624"/>
    <w:rsid w:val="0094450D"/>
    <w:rsid w:val="0095680F"/>
    <w:rsid w:val="00967220"/>
    <w:rsid w:val="00974D66"/>
    <w:rsid w:val="00991A6E"/>
    <w:rsid w:val="00994191"/>
    <w:rsid w:val="009A5900"/>
    <w:rsid w:val="009B4D70"/>
    <w:rsid w:val="009D0EF9"/>
    <w:rsid w:val="009E378A"/>
    <w:rsid w:val="009F6BA9"/>
    <w:rsid w:val="009F6E76"/>
    <w:rsid w:val="00A03331"/>
    <w:rsid w:val="00A1087E"/>
    <w:rsid w:val="00A426C1"/>
    <w:rsid w:val="00A453E6"/>
    <w:rsid w:val="00A523F4"/>
    <w:rsid w:val="00A959EE"/>
    <w:rsid w:val="00AC2F55"/>
    <w:rsid w:val="00AD0260"/>
    <w:rsid w:val="00AD78E6"/>
    <w:rsid w:val="00AE0C89"/>
    <w:rsid w:val="00B32AA5"/>
    <w:rsid w:val="00B52882"/>
    <w:rsid w:val="00B55A7E"/>
    <w:rsid w:val="00B62A3A"/>
    <w:rsid w:val="00B74412"/>
    <w:rsid w:val="00B9238F"/>
    <w:rsid w:val="00BB09A6"/>
    <w:rsid w:val="00C0214E"/>
    <w:rsid w:val="00C0785C"/>
    <w:rsid w:val="00C12530"/>
    <w:rsid w:val="00C20BD1"/>
    <w:rsid w:val="00C5338F"/>
    <w:rsid w:val="00C75E49"/>
    <w:rsid w:val="00CB1132"/>
    <w:rsid w:val="00CF19F0"/>
    <w:rsid w:val="00D000A2"/>
    <w:rsid w:val="00D32B65"/>
    <w:rsid w:val="00D413F7"/>
    <w:rsid w:val="00D43DDE"/>
    <w:rsid w:val="00D4615D"/>
    <w:rsid w:val="00D51FE3"/>
    <w:rsid w:val="00D529C9"/>
    <w:rsid w:val="00D67D66"/>
    <w:rsid w:val="00D8505E"/>
    <w:rsid w:val="00D92149"/>
    <w:rsid w:val="00D960C0"/>
    <w:rsid w:val="00DB0C08"/>
    <w:rsid w:val="00DB208F"/>
    <w:rsid w:val="00DB282A"/>
    <w:rsid w:val="00DE7F1F"/>
    <w:rsid w:val="00E14F93"/>
    <w:rsid w:val="00E214DE"/>
    <w:rsid w:val="00E26254"/>
    <w:rsid w:val="00E45A7E"/>
    <w:rsid w:val="00E74E58"/>
    <w:rsid w:val="00E93BD4"/>
    <w:rsid w:val="00EC58CA"/>
    <w:rsid w:val="00ED5CC1"/>
    <w:rsid w:val="00EE4F50"/>
    <w:rsid w:val="00EF15A6"/>
    <w:rsid w:val="00EF1981"/>
    <w:rsid w:val="00F23C7B"/>
    <w:rsid w:val="00F27A94"/>
    <w:rsid w:val="00F4652D"/>
    <w:rsid w:val="00F5016E"/>
    <w:rsid w:val="00F5631B"/>
    <w:rsid w:val="00F81F63"/>
    <w:rsid w:val="00F83274"/>
    <w:rsid w:val="00F86661"/>
    <w:rsid w:val="00F95981"/>
    <w:rsid w:val="00FA1EE8"/>
    <w:rsid w:val="00FA6C4A"/>
    <w:rsid w:val="00FB53D9"/>
    <w:rsid w:val="00FC4508"/>
    <w:rsid w:val="00FD1CB8"/>
    <w:rsid w:val="00FF008E"/>
    <w:rsid w:val="00FF5504"/>
    <w:rsid w:val="00FF734A"/>
    <w:rsid w:val="00FF7441"/>
    <w:rsid w:val="019735D3"/>
    <w:rsid w:val="01D166CF"/>
    <w:rsid w:val="01E27A17"/>
    <w:rsid w:val="02E72534"/>
    <w:rsid w:val="03B43F97"/>
    <w:rsid w:val="04931375"/>
    <w:rsid w:val="04A77E0F"/>
    <w:rsid w:val="04C44220"/>
    <w:rsid w:val="054A1544"/>
    <w:rsid w:val="064B5BE4"/>
    <w:rsid w:val="071F6CCC"/>
    <w:rsid w:val="07BC764C"/>
    <w:rsid w:val="0945253F"/>
    <w:rsid w:val="09BC5583"/>
    <w:rsid w:val="0A6239F8"/>
    <w:rsid w:val="0A6F7A61"/>
    <w:rsid w:val="0B6B5CEB"/>
    <w:rsid w:val="0BE52999"/>
    <w:rsid w:val="0C8F7304"/>
    <w:rsid w:val="0D206EF1"/>
    <w:rsid w:val="0F2E78F8"/>
    <w:rsid w:val="100A1153"/>
    <w:rsid w:val="101E1199"/>
    <w:rsid w:val="108C7B5E"/>
    <w:rsid w:val="111F7E6B"/>
    <w:rsid w:val="11567032"/>
    <w:rsid w:val="12DE3A4B"/>
    <w:rsid w:val="13A51976"/>
    <w:rsid w:val="14136327"/>
    <w:rsid w:val="154D4706"/>
    <w:rsid w:val="15E63B99"/>
    <w:rsid w:val="15FD0C6C"/>
    <w:rsid w:val="18076468"/>
    <w:rsid w:val="196B1035"/>
    <w:rsid w:val="1A2A7CAB"/>
    <w:rsid w:val="1A357E20"/>
    <w:rsid w:val="1A3D5267"/>
    <w:rsid w:val="1A952EBF"/>
    <w:rsid w:val="1AD32090"/>
    <w:rsid w:val="1B8450FC"/>
    <w:rsid w:val="1CAE12C1"/>
    <w:rsid w:val="1EA216C6"/>
    <w:rsid w:val="1EE5303C"/>
    <w:rsid w:val="1F7F3B84"/>
    <w:rsid w:val="20787D09"/>
    <w:rsid w:val="20E91E17"/>
    <w:rsid w:val="20FD3C97"/>
    <w:rsid w:val="2103029F"/>
    <w:rsid w:val="234350B8"/>
    <w:rsid w:val="2488481C"/>
    <w:rsid w:val="25C62E2A"/>
    <w:rsid w:val="25FE274E"/>
    <w:rsid w:val="27084A19"/>
    <w:rsid w:val="273D6B16"/>
    <w:rsid w:val="27952980"/>
    <w:rsid w:val="27AA398F"/>
    <w:rsid w:val="27F351E3"/>
    <w:rsid w:val="28221B0A"/>
    <w:rsid w:val="286D250C"/>
    <w:rsid w:val="28FE4889"/>
    <w:rsid w:val="293439FE"/>
    <w:rsid w:val="2A890273"/>
    <w:rsid w:val="2B8802B1"/>
    <w:rsid w:val="2BBD18CD"/>
    <w:rsid w:val="2D9C3769"/>
    <w:rsid w:val="2EEA5018"/>
    <w:rsid w:val="2FE73D65"/>
    <w:rsid w:val="2FF737D9"/>
    <w:rsid w:val="32BD7DE1"/>
    <w:rsid w:val="330D2E91"/>
    <w:rsid w:val="333E6F95"/>
    <w:rsid w:val="33412BDD"/>
    <w:rsid w:val="339B67E8"/>
    <w:rsid w:val="3498181D"/>
    <w:rsid w:val="34A4697C"/>
    <w:rsid w:val="34C75310"/>
    <w:rsid w:val="35861472"/>
    <w:rsid w:val="3603318D"/>
    <w:rsid w:val="36237913"/>
    <w:rsid w:val="37775881"/>
    <w:rsid w:val="37871D0A"/>
    <w:rsid w:val="379626C9"/>
    <w:rsid w:val="37B45995"/>
    <w:rsid w:val="37CE02AA"/>
    <w:rsid w:val="37DC2498"/>
    <w:rsid w:val="3874602A"/>
    <w:rsid w:val="387F7796"/>
    <w:rsid w:val="38F11D61"/>
    <w:rsid w:val="3B8345F5"/>
    <w:rsid w:val="3C6D3C51"/>
    <w:rsid w:val="3D315A33"/>
    <w:rsid w:val="3E8B7DF9"/>
    <w:rsid w:val="3F281E42"/>
    <w:rsid w:val="409D605C"/>
    <w:rsid w:val="411130E9"/>
    <w:rsid w:val="41DF3CDD"/>
    <w:rsid w:val="42E12821"/>
    <w:rsid w:val="43B511B3"/>
    <w:rsid w:val="44A65DA6"/>
    <w:rsid w:val="45302862"/>
    <w:rsid w:val="456B24F5"/>
    <w:rsid w:val="46406C9A"/>
    <w:rsid w:val="46CD004A"/>
    <w:rsid w:val="47847AF3"/>
    <w:rsid w:val="480B00BA"/>
    <w:rsid w:val="48894B24"/>
    <w:rsid w:val="49947199"/>
    <w:rsid w:val="4A1A37D9"/>
    <w:rsid w:val="4A3361F4"/>
    <w:rsid w:val="4B096EDA"/>
    <w:rsid w:val="4B824E76"/>
    <w:rsid w:val="4C242D9F"/>
    <w:rsid w:val="4D7508B3"/>
    <w:rsid w:val="4E792D02"/>
    <w:rsid w:val="4E895BC5"/>
    <w:rsid w:val="4FD369D5"/>
    <w:rsid w:val="50421E35"/>
    <w:rsid w:val="50887C84"/>
    <w:rsid w:val="50FD1E46"/>
    <w:rsid w:val="52CB1C51"/>
    <w:rsid w:val="532C4358"/>
    <w:rsid w:val="53B37738"/>
    <w:rsid w:val="55D70136"/>
    <w:rsid w:val="56F30668"/>
    <w:rsid w:val="58102406"/>
    <w:rsid w:val="58750F64"/>
    <w:rsid w:val="59301A97"/>
    <w:rsid w:val="59DD29BF"/>
    <w:rsid w:val="5A325814"/>
    <w:rsid w:val="5A6574B1"/>
    <w:rsid w:val="5AFF4C9D"/>
    <w:rsid w:val="5B182AE8"/>
    <w:rsid w:val="5B477144"/>
    <w:rsid w:val="5D553EB0"/>
    <w:rsid w:val="5DA76335"/>
    <w:rsid w:val="5E105805"/>
    <w:rsid w:val="5E3C2204"/>
    <w:rsid w:val="5E695D70"/>
    <w:rsid w:val="5ED21787"/>
    <w:rsid w:val="5F164E25"/>
    <w:rsid w:val="5F471AC2"/>
    <w:rsid w:val="5FB69B5A"/>
    <w:rsid w:val="5FCB7576"/>
    <w:rsid w:val="5FFE018B"/>
    <w:rsid w:val="632534F4"/>
    <w:rsid w:val="634B13AE"/>
    <w:rsid w:val="63E63F2C"/>
    <w:rsid w:val="64CF52FE"/>
    <w:rsid w:val="6593536E"/>
    <w:rsid w:val="663208B5"/>
    <w:rsid w:val="66764F77"/>
    <w:rsid w:val="669C0D9A"/>
    <w:rsid w:val="675C0F32"/>
    <w:rsid w:val="67BB4F53"/>
    <w:rsid w:val="6A7722E5"/>
    <w:rsid w:val="6B654A73"/>
    <w:rsid w:val="6B7F7FFF"/>
    <w:rsid w:val="6B904981"/>
    <w:rsid w:val="6C0635FF"/>
    <w:rsid w:val="6DE76745"/>
    <w:rsid w:val="6E4A64C0"/>
    <w:rsid w:val="6EB02870"/>
    <w:rsid w:val="6EFD9FAE"/>
    <w:rsid w:val="70EB475C"/>
    <w:rsid w:val="72A1585B"/>
    <w:rsid w:val="72A655BC"/>
    <w:rsid w:val="72F7369B"/>
    <w:rsid w:val="73F56676"/>
    <w:rsid w:val="7424250F"/>
    <w:rsid w:val="742451C0"/>
    <w:rsid w:val="75197380"/>
    <w:rsid w:val="766F4582"/>
    <w:rsid w:val="76E20CBC"/>
    <w:rsid w:val="77CC4474"/>
    <w:rsid w:val="78583DE5"/>
    <w:rsid w:val="789328D0"/>
    <w:rsid w:val="78B348AB"/>
    <w:rsid w:val="79C36A99"/>
    <w:rsid w:val="7A742C8C"/>
    <w:rsid w:val="7AFC261C"/>
    <w:rsid w:val="7B630DFC"/>
    <w:rsid w:val="7BB8348D"/>
    <w:rsid w:val="7BD46E25"/>
    <w:rsid w:val="7C385B5E"/>
    <w:rsid w:val="7D7E14C5"/>
    <w:rsid w:val="7D7F5600"/>
    <w:rsid w:val="7DB279D3"/>
    <w:rsid w:val="7E0D60CE"/>
    <w:rsid w:val="7EBA13B9"/>
    <w:rsid w:val="7EDB5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E3BED"/>
  <w15:docId w15:val="{D9DCBDD2-584E-4C18-8D9F-0731C9D7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ascii="Arial" w:hAnsi="Arial" w:cs="Arial"/>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page number"/>
    <w:basedOn w:val="a0"/>
    <w:qFormat/>
  </w:style>
  <w:style w:type="character" w:styleId="af0">
    <w:name w:val="annotation reference"/>
    <w:basedOn w:val="a0"/>
    <w:uiPriority w:val="99"/>
    <w:semiHidden/>
    <w:unhideWhenUsed/>
    <w:qFormat/>
    <w:rPr>
      <w:sz w:val="21"/>
      <w:szCs w:val="21"/>
    </w:rPr>
  </w:style>
  <w:style w:type="character" w:customStyle="1" w:styleId="a8">
    <w:name w:val="页脚 字符"/>
    <w:basedOn w:val="a0"/>
    <w:link w:val="a7"/>
    <w:qFormat/>
    <w:rPr>
      <w:rFonts w:ascii="Times New Roman" w:eastAsia="宋体" w:hAnsi="Times New Roman" w:cs="Times New Roman"/>
      <w:sz w:val="18"/>
      <w:szCs w:val="18"/>
    </w:rPr>
  </w:style>
  <w:style w:type="paragraph" w:customStyle="1" w:styleId="005">
    <w:name w:val="005正文"/>
    <w:basedOn w:val="a"/>
    <w:link w:val="005Char"/>
    <w:qFormat/>
    <w:pPr>
      <w:spacing w:beforeLines="50" w:before="50" w:line="360" w:lineRule="auto"/>
      <w:ind w:firstLineChars="200" w:firstLine="200"/>
    </w:pPr>
    <w:rPr>
      <w:sz w:val="24"/>
      <w:szCs w:val="22"/>
    </w:rPr>
  </w:style>
  <w:style w:type="character" w:customStyle="1" w:styleId="005Char">
    <w:name w:val="005正文 Char"/>
    <w:link w:val="005"/>
    <w:qFormat/>
    <w:rPr>
      <w:rFonts w:ascii="Times New Roman" w:eastAsia="宋体" w:hAnsi="Times New Roman" w:cs="Times New Roman"/>
      <w:sz w:val="24"/>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kern w:val="2"/>
      <w:sz w:val="21"/>
      <w:szCs w:val="24"/>
    </w:rPr>
  </w:style>
  <w:style w:type="character" w:customStyle="1" w:styleId="ac">
    <w:name w:val="批注主题 字符"/>
    <w:basedOn w:val="a4"/>
    <w:link w:val="ab"/>
    <w:uiPriority w:val="99"/>
    <w:semiHidden/>
    <w:qFormat/>
    <w:rPr>
      <w:b/>
      <w:bCs/>
      <w:kern w:val="2"/>
      <w:sz w:val="21"/>
      <w:szCs w:val="24"/>
    </w:rPr>
  </w:style>
  <w:style w:type="character" w:customStyle="1" w:styleId="a6">
    <w:name w:val="批注框文本 字符"/>
    <w:basedOn w:val="a0"/>
    <w:link w:val="a5"/>
    <w:uiPriority w:val="99"/>
    <w:semiHidden/>
    <w:qFormat/>
    <w:rPr>
      <w:kern w:val="2"/>
      <w:sz w:val="18"/>
      <w:szCs w:val="18"/>
    </w:rPr>
  </w:style>
  <w:style w:type="paragraph" w:styleId="af1">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10">
    <w:name w:val="标题 1 字符"/>
    <w:basedOn w:val="a0"/>
    <w:link w:val="1"/>
    <w:uiPriority w:val="9"/>
    <w:qFormat/>
    <w:rPr>
      <w:rFonts w:ascii="Arial" w:hAnsi="Arial" w:cs="Arial"/>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paragraph" w:styleId="af2">
    <w:name w:val="No Spacing"/>
    <w:uiPriority w:val="1"/>
    <w:qFormat/>
    <w:pPr>
      <w:widowControl w:val="0"/>
      <w:jc w:val="both"/>
    </w:pPr>
    <w:rPr>
      <w:kern w:val="2"/>
      <w:sz w:val="21"/>
      <w:szCs w:val="22"/>
    </w:rPr>
  </w:style>
  <w:style w:type="character" w:styleId="af3">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D4397332-18D2-48ED-83DA-6C2F503ED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Pages>
  <Words>288</Words>
  <Characters>1642</Characters>
  <Application>Microsoft Office Word</Application>
  <DocSecurity>0</DocSecurity>
  <Lines>13</Lines>
  <Paragraphs>3</Paragraphs>
  <ScaleCrop>false</ScaleCrop>
  <Company>北京天智航医疗科技股份有限公司</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gxc</dc:creator>
  <cp:lastModifiedBy>China</cp:lastModifiedBy>
  <cp:revision>47</cp:revision>
  <cp:lastPrinted>2021-08-27T14:45:00Z</cp:lastPrinted>
  <dcterms:created xsi:type="dcterms:W3CDTF">2020-09-07T14:34:00Z</dcterms:created>
  <dcterms:modified xsi:type="dcterms:W3CDTF">2025-10-31T02:59:00Z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90DE16ACF3AB4D95B10F49B446792421</vt:lpwstr>
  </property>
  <property fmtid="{D5CDD505-2E9C-101B-9397-08002B2CF9AE}" pid="4" name="KSOTemplateDocerSaveRecord">
    <vt:lpwstr>eyJoZGlkIjoiNjlhZWRjZDdiODUwMmE2OTg3YmU2NTUyYzY2ZjNiNWMiLCJ1c2VySWQiOiIxMDE2NDAzMjM2In0=</vt:lpwstr>
  </property>
</Properties>
</file>