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F3709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F3709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</w:t>
      </w:r>
      <w:proofErr w:type="gramStart"/>
      <w:r w:rsidRPr="00F3709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特</w:t>
      </w:r>
      <w:proofErr w:type="gramEnd"/>
      <w:r w:rsidRPr="00F3709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斯阳光电力集团</w:t>
      </w:r>
      <w:r w:rsidR="00806A21" w:rsidRPr="00F3709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F3709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F3709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37FACE77" w:rsidR="00370F43" w:rsidRPr="00F3709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F3709B">
        <w:rPr>
          <w:rFonts w:ascii="宋体" w:eastAsia="宋体" w:hAnsi="宋体" w:cs="Times New Roman" w:hint="eastAsia"/>
          <w:szCs w:val="21"/>
        </w:rPr>
        <w:t>编号</w:t>
      </w:r>
      <w:r w:rsidR="00E149CE" w:rsidRPr="00F3709B">
        <w:rPr>
          <w:rFonts w:ascii="宋体" w:eastAsia="宋体" w:hAnsi="宋体" w:cs="Times New Roman" w:hint="eastAsia"/>
          <w:szCs w:val="21"/>
        </w:rPr>
        <w:t>（</w:t>
      </w:r>
      <w:r w:rsidR="00BD57DE" w:rsidRPr="00F3709B">
        <w:rPr>
          <w:rFonts w:ascii="宋体" w:eastAsia="宋体" w:hAnsi="宋体" w:cs="Times New Roman" w:hint="eastAsia"/>
          <w:szCs w:val="21"/>
        </w:rPr>
        <w:t>月度</w:t>
      </w:r>
      <w:r w:rsidR="00E149CE" w:rsidRPr="00F3709B">
        <w:rPr>
          <w:rFonts w:ascii="宋体" w:eastAsia="宋体" w:hAnsi="宋体" w:cs="Times New Roman" w:hint="eastAsia"/>
          <w:szCs w:val="21"/>
        </w:rPr>
        <w:t>）</w:t>
      </w:r>
      <w:r w:rsidRPr="00F3709B">
        <w:rPr>
          <w:rFonts w:ascii="宋体" w:eastAsia="宋体" w:hAnsi="宋体" w:cs="Times New Roman"/>
          <w:szCs w:val="21"/>
        </w:rPr>
        <w:t>：</w:t>
      </w:r>
      <w:r w:rsidR="00AD0C6E" w:rsidRPr="00F3709B">
        <w:rPr>
          <w:rFonts w:ascii="宋体" w:eastAsia="宋体" w:hAnsi="宋体" w:cs="Times New Roman" w:hint="eastAsia"/>
          <w:szCs w:val="21"/>
        </w:rPr>
        <w:t>2</w:t>
      </w:r>
      <w:r w:rsidR="00AD0C6E" w:rsidRPr="00F3709B">
        <w:rPr>
          <w:rFonts w:ascii="宋体" w:eastAsia="宋体" w:hAnsi="宋体" w:cs="Times New Roman"/>
          <w:szCs w:val="21"/>
        </w:rPr>
        <w:t>02</w:t>
      </w:r>
      <w:r w:rsidR="00CA374D" w:rsidRPr="00F3709B">
        <w:rPr>
          <w:rFonts w:ascii="宋体" w:eastAsia="宋体" w:hAnsi="宋体" w:cs="Times New Roman" w:hint="eastAsia"/>
          <w:szCs w:val="21"/>
        </w:rPr>
        <w:t>5</w:t>
      </w:r>
      <w:r w:rsidR="00AD0C6E" w:rsidRPr="00F3709B">
        <w:rPr>
          <w:rFonts w:ascii="宋体" w:eastAsia="宋体" w:hAnsi="宋体" w:cs="Times New Roman" w:hint="eastAsia"/>
          <w:szCs w:val="21"/>
        </w:rPr>
        <w:t>-</w:t>
      </w:r>
      <w:r w:rsidR="00565BDC" w:rsidRPr="00F3709B">
        <w:rPr>
          <w:rFonts w:ascii="宋体" w:eastAsia="宋体" w:hAnsi="宋体" w:cs="Times New Roman"/>
          <w:szCs w:val="21"/>
        </w:rPr>
        <w:t>0</w:t>
      </w:r>
      <w:r w:rsidR="00006976">
        <w:rPr>
          <w:rFonts w:ascii="宋体" w:eastAsia="宋体" w:hAnsi="宋体" w:cs="Times New Roman" w:hint="eastAsia"/>
          <w:szCs w:val="21"/>
        </w:rPr>
        <w:t>10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F3709B" w14:paraId="62630B25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F3709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493A19DE" w:rsidR="0067409F" w:rsidRPr="00F3709B" w:rsidRDefault="006E4666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F3709B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F3709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F3709B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444F6231" w:rsidR="0067409F" w:rsidRPr="00F3709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F3709B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F3709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F3709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A1430" w:rsidRPr="00F3709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F3709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F3709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4FF2E8B" w:rsidR="0067409F" w:rsidRPr="00F3709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3709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F3709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4666" w:rsidRPr="00F3709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F3709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0155F2E4" w:rsidR="0067409F" w:rsidRPr="00F3709B" w:rsidRDefault="00923791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F3709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F3709B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F3709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t>□ 其他（</w:t>
            </w:r>
            <w:proofErr w:type="gramStart"/>
            <w:r w:rsidRPr="00F3709B"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 w:rsidRPr="00F3709B"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F3709B" w14:paraId="79F53281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F3709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2736BD47" w14:textId="77777777" w:rsidR="0033590A" w:rsidRDefault="0033590A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426A1004" w14:textId="068EDFE2" w:rsidR="0033590A" w:rsidRPr="00F3709B" w:rsidRDefault="0033590A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Daiwa、</w:t>
            </w:r>
            <w:proofErr w:type="spell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DymonAsia</w:t>
            </w:r>
            <w:proofErr w:type="spell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、Morningstar、</w:t>
            </w:r>
            <w:proofErr w:type="spell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PerseveranceAsset</w:t>
            </w:r>
            <w:proofErr w:type="spell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、Point72、Regal Partners、宝盈基金、博道基金、博时基金、</w:t>
            </w:r>
            <w:proofErr w:type="gram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博裕资本</w:t>
            </w:r>
            <w:proofErr w:type="gram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、渤海证券、财通证券、常春藤资产、大成基金、大家资管、淡水泉基金、德</w:t>
            </w:r>
            <w:proofErr w:type="gram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邦</w:t>
            </w:r>
            <w:proofErr w:type="gram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证券、东北证券、东方财富证券、东海证券、东吴证券、东兴证券、东盈投资、</w:t>
            </w:r>
            <w:proofErr w:type="gram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敦</w:t>
            </w:r>
            <w:proofErr w:type="gram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和</w:t>
            </w:r>
            <w:proofErr w:type="gramStart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资管</w:t>
            </w:r>
            <w:proofErr w:type="gramEnd"/>
            <w:r w:rsidRPr="0033590A">
              <w:rPr>
                <w:rFonts w:ascii="宋体" w:eastAsia="宋体" w:hAnsi="宋体" w:cs="宋体"/>
                <w:bCs/>
                <w:color w:val="000000"/>
                <w:szCs w:val="21"/>
              </w:rPr>
              <w:t>、鄂尔多斯投资、方正证券、富邦资源、富瑞金投资、富智投资、高盛中国证券、工银安盛、光大证券、广发基金、广发证券、国都证券、国海证券、国金证券、国联民生证券、国盛证券、国泰海通证券</w:t>
            </w:r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、国泰君安证券、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国投瑞银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基金、国信证券、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禾其投资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、弘毅远方基金、宏利投资、华安证券、华宝基金、华创证券、华福证券、华金证券、华利安诺基、华泰证券、华西证券、华夏基金、汇丰银行、汇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丰晋信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基金、嘉实基金、交银证券、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京管泰富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基金、景顺长城基金、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聚鸣投资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、开源证券、凯丰投资、昆仑保险、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联视投资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翎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展基金、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洛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书投资、麦顿投资、麦格理资本、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茂典资管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、美丰资产、美银证券、明河投资、摩根士丹利、南方基金、南华基金、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盘京投资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鹏格斯资管、鹏扬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基金、平安证券、前方基金、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钦沐资管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、勤辰私募基金、群益证券、人寿保险、融通基金、瑞信证券、瑞银证券、上海景富投资、申万宏源证券、申万菱信基金、山楂树私募、拾贝投资、太平洋证券、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泰德圣基金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泰仁资本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、天风证券、天赋资本、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天倚道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投资、同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犇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投资、西部证券、香港资产、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象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屿金象、兴业证券、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兴证全球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基金、玄元私募基金、野村东方国际证券、易方达基金、易米基金、奕图资本、银河证券、英大基金、永诚保险资管、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甬兴证券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、元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昊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资本、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元禾重元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、圆方资管、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云富投资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、长城基金、长江养老、长江证券、长谋投资、招商证券、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浙商基金、浙商证券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、正圆私募基金、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中庚基金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、中国国际金融、中国平安、中欧基金、中泰证券、中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信保诚资管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、中</w:t>
            </w:r>
            <w:proofErr w:type="gramStart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信建投证券</w:t>
            </w:r>
            <w:proofErr w:type="gramEnd"/>
            <w:r w:rsidRPr="0033590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、中信证券、中银国际证券、中泽控股、朱雀基金</w:t>
            </w:r>
            <w:r w:rsidR="000069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</w:tc>
      </w:tr>
      <w:tr w:rsidR="00370F43" w:rsidRPr="00F3709B" w14:paraId="04AE787E" w14:textId="77777777" w:rsidTr="00663145">
        <w:trPr>
          <w:trHeight w:val="1687"/>
        </w:trPr>
        <w:tc>
          <w:tcPr>
            <w:tcW w:w="1838" w:type="dxa"/>
            <w:vAlign w:val="center"/>
          </w:tcPr>
          <w:p w14:paraId="4E9F82E3" w14:textId="77777777" w:rsidR="00370F43" w:rsidRPr="00F3709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公司接待人员姓名及职务</w:t>
            </w:r>
          </w:p>
        </w:tc>
        <w:tc>
          <w:tcPr>
            <w:tcW w:w="6458" w:type="dxa"/>
          </w:tcPr>
          <w:p w14:paraId="11FA0C09" w14:textId="77777777" w:rsidR="00787ABC" w:rsidRPr="00F3709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2E8153AC" w14:textId="28BDBCA0" w:rsidR="00787ABC" w:rsidRPr="00F3709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szCs w:val="21"/>
              </w:rPr>
              <w:t>董事长：瞿晓</w:t>
            </w:r>
            <w:proofErr w:type="gramStart"/>
            <w:r w:rsidRPr="00F3709B">
              <w:rPr>
                <w:rFonts w:ascii="宋体" w:eastAsia="宋体" w:hAnsi="宋体" w:cs="Times New Roman" w:hint="eastAsia"/>
                <w:szCs w:val="21"/>
              </w:rPr>
              <w:t>铧</w:t>
            </w:r>
            <w:proofErr w:type="gramEnd"/>
          </w:p>
          <w:p w14:paraId="1DF7B53C" w14:textId="78DF6082" w:rsidR="00787ABC" w:rsidRPr="00F3709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42F07126" w14:textId="77777777" w:rsidR="00787ABC" w:rsidRPr="00F3709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szCs w:val="21"/>
              </w:rPr>
              <w:t>财务总监：潘乃宏</w:t>
            </w:r>
          </w:p>
          <w:p w14:paraId="39040192" w14:textId="77777777" w:rsidR="00305FEF" w:rsidRPr="00F3709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5201EF34" w14:textId="77777777" w:rsidR="00787ABC" w:rsidRPr="00F3709B" w:rsidRDefault="006E466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4FC0B431" w:rsidR="00A06958" w:rsidRPr="00F3709B" w:rsidRDefault="00A06958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F3709B" w14:paraId="5D1CAC9D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F3709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1E15F071" w:rsidR="00370F43" w:rsidRPr="00F3709B" w:rsidRDefault="006E4666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t>2025年</w:t>
            </w:r>
            <w:r w:rsidR="00F97EB9" w:rsidRPr="00F3709B">
              <w:rPr>
                <w:rFonts w:ascii="宋体" w:eastAsia="宋体" w:hAnsi="宋体" w:cs="宋体" w:hint="eastAsia"/>
                <w:szCs w:val="21"/>
              </w:rPr>
              <w:t>10</w:t>
            </w:r>
            <w:r w:rsidRPr="00F3709B">
              <w:rPr>
                <w:rFonts w:ascii="宋体" w:eastAsia="宋体" w:hAnsi="宋体" w:cs="宋体" w:hint="eastAsia"/>
                <w:szCs w:val="21"/>
              </w:rPr>
              <w:t>月1日 -2025年</w:t>
            </w:r>
            <w:r w:rsidR="00F97EB9" w:rsidRPr="00F3709B">
              <w:rPr>
                <w:rFonts w:ascii="宋体" w:eastAsia="宋体" w:hAnsi="宋体" w:cs="宋体" w:hint="eastAsia"/>
                <w:szCs w:val="21"/>
              </w:rPr>
              <w:t>10</w:t>
            </w:r>
            <w:r w:rsidRPr="00F3709B">
              <w:rPr>
                <w:rFonts w:ascii="宋体" w:eastAsia="宋体" w:hAnsi="宋体" w:cs="宋体" w:hint="eastAsia"/>
                <w:szCs w:val="21"/>
              </w:rPr>
              <w:t>月31日</w:t>
            </w:r>
          </w:p>
        </w:tc>
      </w:tr>
      <w:tr w:rsidR="00370F43" w:rsidRPr="00F3709B" w14:paraId="11C34E37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F3709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4AB5DC58" w:rsidR="00370F43" w:rsidRPr="00F3709B" w:rsidRDefault="00787ABC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t>业绩说明会</w:t>
            </w:r>
            <w:r w:rsidR="006E4666" w:rsidRPr="00F3709B">
              <w:rPr>
                <w:rFonts w:ascii="宋体" w:eastAsia="宋体" w:hAnsi="宋体" w:cs="宋体" w:hint="eastAsia"/>
                <w:szCs w:val="21"/>
              </w:rPr>
              <w:t>，</w:t>
            </w:r>
            <w:proofErr w:type="gramStart"/>
            <w:r w:rsidR="006E4666" w:rsidRPr="00F3709B">
              <w:rPr>
                <w:rFonts w:ascii="宋体" w:eastAsia="宋体" w:hAnsi="宋体" w:cs="宋体" w:hint="eastAsia"/>
                <w:szCs w:val="21"/>
              </w:rPr>
              <w:t>反路演</w:t>
            </w:r>
            <w:proofErr w:type="gramEnd"/>
            <w:r w:rsidR="006E4666" w:rsidRPr="00F3709B">
              <w:rPr>
                <w:rFonts w:ascii="宋体" w:eastAsia="宋体" w:hAnsi="宋体" w:cs="宋体" w:hint="eastAsia"/>
                <w:szCs w:val="21"/>
              </w:rPr>
              <w:t>，线上会议，现场调研等</w:t>
            </w:r>
          </w:p>
        </w:tc>
      </w:tr>
      <w:tr w:rsidR="00370F43" w:rsidRPr="00F3709B" w14:paraId="1A14D9E4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F3709B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br w:type="page"/>
            </w:r>
            <w:r w:rsidR="00806A21" w:rsidRPr="00F3709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1A57EDF1" w14:textId="77777777" w:rsidR="0082365B" w:rsidRDefault="0082365B" w:rsidP="0082365B">
            <w:pPr>
              <w:spacing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</w:p>
          <w:p w14:paraId="15814AC1" w14:textId="5F960C04" w:rsidR="0056355E" w:rsidRPr="0082365B" w:rsidRDefault="00490935" w:rsidP="0082365B">
            <w:pPr>
              <w:spacing w:afterLines="50" w:after="156"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82365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一、2025年前三季度经营业绩情况：</w:t>
            </w:r>
          </w:p>
          <w:p w14:paraId="2D40B195" w14:textId="77777777" w:rsidR="00F3709B" w:rsidRPr="00F3709B" w:rsidRDefault="00F3709B" w:rsidP="0082365B">
            <w:pPr>
              <w:snapToGrid w:val="0"/>
              <w:spacing w:afterLines="50" w:after="156" w:line="288" w:lineRule="auto"/>
              <w:ind w:firstLineChars="200" w:firstLine="420"/>
              <w:rPr>
                <w:rFonts w:ascii="宋体" w:eastAsia="宋体" w:hAnsi="宋体" w:cs="微软雅黑" w:hint="eastAsia"/>
                <w:szCs w:val="21"/>
              </w:rPr>
            </w:pPr>
            <w:r w:rsidRPr="00F3709B">
              <w:rPr>
                <w:rFonts w:ascii="宋体" w:eastAsia="宋体" w:hAnsi="宋体" w:cs="微软雅黑" w:hint="eastAsia"/>
                <w:szCs w:val="21"/>
              </w:rPr>
              <w:t>2025年前三季度，公司在行业调整期稳健经营，实现营业收入312.7亿元，归属于上市公司股东的净利润9.9亿元，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扣非净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利润11.2亿元。其中,第三季度实现营业收入102.2亿元，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扣非净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利润2.8亿元，包括计提信用减值和存货减值合计</w:t>
            </w:r>
            <w:r w:rsidRPr="00F3709B">
              <w:rPr>
                <w:rFonts w:ascii="宋体" w:eastAsia="宋体" w:hAnsi="宋体" w:cs="微软雅黑"/>
                <w:szCs w:val="21"/>
              </w:rPr>
              <w:t>2.5亿元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。依托大型储能先发优势、全球化先进制造产能支撑及国际化渠道布局，公司坚守盈利底线，2025年前三季度实现经营活动净现金流入近55</w:t>
            </w:r>
            <w:r w:rsidRPr="00F3709B">
              <w:rPr>
                <w:rFonts w:ascii="宋体" w:eastAsia="宋体" w:hAnsi="宋体" w:cs="微软雅黑"/>
                <w:szCs w:val="21"/>
              </w:rPr>
              <w:t>亿元，展现出强劲的财务健康度与抗风险能力。</w:t>
            </w:r>
          </w:p>
          <w:p w14:paraId="25E95DE6" w14:textId="77777777" w:rsidR="00F3709B" w:rsidRPr="00F3709B" w:rsidRDefault="00F3709B" w:rsidP="0082365B">
            <w:pPr>
              <w:snapToGrid w:val="0"/>
              <w:spacing w:afterLines="50" w:after="156" w:line="288" w:lineRule="auto"/>
              <w:ind w:firstLineChars="200" w:firstLine="420"/>
              <w:rPr>
                <w:rFonts w:ascii="宋体" w:eastAsia="宋体" w:hAnsi="宋体" w:cs="微软雅黑" w:hint="eastAsia"/>
                <w:szCs w:val="21"/>
              </w:rPr>
            </w:pPr>
            <w:r w:rsidRPr="00F3709B">
              <w:rPr>
                <w:rFonts w:ascii="宋体" w:eastAsia="宋体" w:hAnsi="宋体" w:cs="微软雅黑" w:hint="eastAsia"/>
                <w:szCs w:val="21"/>
              </w:rPr>
              <w:t>光伏方面，公司前三季度累积出货19.9GW，其中第三季度出货5.1GW。三季度以来，尽管组件价格在“反内卷”下止跌企稳，组件环节仍面临上游成本上行与组件价格传导滞后的挑战，叠加北美关税成本上升的压力。但公司始终坚守</w:t>
            </w:r>
            <w:r w:rsidRPr="00F3709B">
              <w:rPr>
                <w:rFonts w:ascii="宋体" w:eastAsia="宋体" w:hAnsi="宋体" w:cs="微软雅黑"/>
                <w:szCs w:val="21"/>
              </w:rPr>
              <w:t xml:space="preserve"> “利润第一性”原则，积极响应行业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反内卷倡议</w:t>
            </w:r>
            <w:r w:rsidRPr="00F3709B">
              <w:rPr>
                <w:rFonts w:ascii="宋体" w:eastAsia="宋体" w:hAnsi="宋体" w:cs="微软雅黑"/>
                <w:szCs w:val="21"/>
              </w:rPr>
              <w:t>，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主动减少出货</w:t>
            </w:r>
            <w:r w:rsidRPr="00F3709B">
              <w:rPr>
                <w:rFonts w:ascii="宋体" w:eastAsia="宋体" w:hAnsi="宋体" w:cs="微软雅黑"/>
                <w:szCs w:val="21"/>
              </w:rPr>
              <w:t>，确保经营效益稳定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，</w:t>
            </w:r>
            <w:r w:rsidRPr="00F3709B">
              <w:rPr>
                <w:rFonts w:ascii="宋体" w:eastAsia="宋体" w:hAnsi="宋体" w:cs="微软雅黑"/>
                <w:szCs w:val="21"/>
              </w:rPr>
              <w:t>有序推进全球化产能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布局优化</w:t>
            </w:r>
            <w:r w:rsidRPr="00F3709B">
              <w:rPr>
                <w:rFonts w:ascii="宋体" w:eastAsia="宋体" w:hAnsi="宋体" w:cs="微软雅黑"/>
                <w:szCs w:val="21"/>
              </w:rPr>
              <w:t>，稳固在高价值市场的出货规模与份额优势。</w:t>
            </w:r>
          </w:p>
          <w:p w14:paraId="583CD62C" w14:textId="77777777" w:rsidR="0082365B" w:rsidRDefault="00F3709B" w:rsidP="0082365B">
            <w:pPr>
              <w:snapToGrid w:val="0"/>
              <w:spacing w:afterLines="50" w:after="156" w:line="288" w:lineRule="auto"/>
              <w:ind w:firstLineChars="200" w:firstLine="420"/>
              <w:rPr>
                <w:rFonts w:ascii="宋体" w:eastAsia="宋体" w:hAnsi="宋体" w:cs="微软雅黑" w:hint="eastAsia"/>
                <w:szCs w:val="21"/>
              </w:rPr>
            </w:pPr>
            <w:r w:rsidRPr="00F3709B">
              <w:rPr>
                <w:rFonts w:ascii="宋体" w:eastAsia="宋体" w:hAnsi="宋体" w:cs="微软雅黑" w:hint="eastAsia"/>
                <w:szCs w:val="21"/>
              </w:rPr>
              <w:t>储能业务持续高速增长，2025年前三季度大型储能出货5.8GWh,同比增长32%；其中三季度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出货达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2.7GWh,同比增长50%，环比增长27%，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创单季度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出货新高。近期，公司宣布储能业务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版块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e-STORAGE与</w:t>
            </w:r>
            <w:proofErr w:type="spellStart"/>
            <w:r w:rsidRPr="00F3709B">
              <w:rPr>
                <w:rFonts w:ascii="宋体" w:eastAsia="宋体" w:hAnsi="宋体" w:cs="微软雅黑" w:hint="eastAsia"/>
                <w:szCs w:val="21"/>
              </w:rPr>
              <w:t>Aypa</w:t>
            </w:r>
            <w:proofErr w:type="spellEnd"/>
            <w:r w:rsidRPr="00F3709B">
              <w:rPr>
                <w:rFonts w:ascii="宋体" w:eastAsia="宋体" w:hAnsi="宋体" w:cs="微软雅黑" w:hint="eastAsia"/>
                <w:szCs w:val="21"/>
              </w:rPr>
              <w:t>电力公司就加拿大安大略省“埃洛拉（Elora）”、“赫德利（Hedley）”两大电池储能项目，签署储能系统供应协议和长期服务协议，合计装机容量达420兆瓦/2,122兆瓦时，</w:t>
            </w:r>
            <w:r w:rsidRPr="00F3709B">
              <w:rPr>
                <w:rFonts w:ascii="宋体" w:eastAsia="宋体" w:hAnsi="宋体" w:cs="微软雅黑"/>
                <w:szCs w:val="21"/>
              </w:rPr>
              <w:t xml:space="preserve">并同步达成 20 </w:t>
            </w:r>
            <w:proofErr w:type="gramStart"/>
            <w:r w:rsidRPr="00F3709B">
              <w:rPr>
                <w:rFonts w:ascii="宋体" w:eastAsia="宋体" w:hAnsi="宋体" w:cs="微软雅黑"/>
                <w:szCs w:val="21"/>
              </w:rPr>
              <w:t>年长期</w:t>
            </w:r>
            <w:proofErr w:type="gramEnd"/>
            <w:r w:rsidRPr="00F3709B">
              <w:rPr>
                <w:rFonts w:ascii="宋体" w:eastAsia="宋体" w:hAnsi="宋体" w:cs="微软雅黑"/>
                <w:szCs w:val="21"/>
              </w:rPr>
              <w:t>服务协议。该项目不仅巩固了我们在北美储能领域的领先地位，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持续深化我们与全球关键伙伴的协作关系，</w:t>
            </w:r>
            <w:r w:rsidRPr="00F3709B">
              <w:rPr>
                <w:rFonts w:ascii="宋体" w:eastAsia="宋体" w:hAnsi="宋体" w:cs="微软雅黑"/>
                <w:szCs w:val="21"/>
              </w:rPr>
              <w:t>更通过全生命周期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的</w:t>
            </w:r>
            <w:r w:rsidRPr="00F3709B">
              <w:rPr>
                <w:rFonts w:ascii="宋体" w:eastAsia="宋体" w:hAnsi="宋体" w:cs="微软雅黑"/>
                <w:szCs w:val="21"/>
              </w:rPr>
              <w:t>服务承诺，凸显了公司以客户价值为核心的差异化竞争力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。户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储业务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已实现盈利性增长，第三季度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出货量环比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增长超</w:t>
            </w:r>
            <w:r w:rsidRPr="00F3709B">
              <w:rPr>
                <w:rFonts w:ascii="宋体" w:eastAsia="宋体" w:hAnsi="宋体" w:cs="微软雅黑"/>
                <w:szCs w:val="21"/>
              </w:rPr>
              <w:t>70%，同时我们正加速完善产品矩阵、拓宽全球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市场</w:t>
            </w:r>
            <w:r w:rsidRPr="00F3709B">
              <w:rPr>
                <w:rFonts w:ascii="宋体" w:eastAsia="宋体" w:hAnsi="宋体" w:cs="微软雅黑"/>
                <w:szCs w:val="21"/>
              </w:rPr>
              <w:t>渠道，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t>稳步推动其成为公司的第三增长曲线。</w:t>
            </w:r>
          </w:p>
          <w:p w14:paraId="6C9FAC5B" w14:textId="2443CDD9" w:rsidR="00490935" w:rsidRDefault="00F3709B" w:rsidP="0082365B">
            <w:pPr>
              <w:snapToGrid w:val="0"/>
              <w:spacing w:afterLines="50" w:after="156" w:line="288" w:lineRule="auto"/>
              <w:ind w:firstLineChars="200" w:firstLine="420"/>
              <w:rPr>
                <w:rFonts w:ascii="宋体" w:eastAsia="宋体" w:hAnsi="宋体" w:cs="微软雅黑" w:hint="eastAsia"/>
                <w:szCs w:val="21"/>
              </w:rPr>
            </w:pPr>
            <w:r w:rsidRPr="00F3709B">
              <w:rPr>
                <w:rFonts w:ascii="宋体" w:eastAsia="宋体" w:hAnsi="宋体" w:cs="微软雅黑" w:hint="eastAsia"/>
                <w:szCs w:val="21"/>
              </w:rPr>
              <w:t>面对行业供需关系与地缘政治带来的挑战，公司将持续以技术创新与全球化布局应对变局。随着光</w:t>
            </w:r>
            <w:proofErr w:type="gramStart"/>
            <w:r w:rsidRPr="00F3709B">
              <w:rPr>
                <w:rFonts w:ascii="宋体" w:eastAsia="宋体" w:hAnsi="宋体" w:cs="微软雅黑" w:hint="eastAsia"/>
                <w:szCs w:val="21"/>
              </w:rPr>
              <w:t>伏行业</w:t>
            </w:r>
            <w:proofErr w:type="gramEnd"/>
            <w:r w:rsidRPr="00F3709B">
              <w:rPr>
                <w:rFonts w:ascii="宋体" w:eastAsia="宋体" w:hAnsi="宋体" w:cs="微软雅黑" w:hint="eastAsia"/>
                <w:szCs w:val="21"/>
              </w:rPr>
              <w:t>从规模扩张转向价值竞</w:t>
            </w:r>
            <w:r w:rsidRPr="00F3709B">
              <w:rPr>
                <w:rFonts w:ascii="宋体" w:eastAsia="宋体" w:hAnsi="宋体" w:cs="微软雅黑" w:hint="eastAsia"/>
                <w:szCs w:val="21"/>
              </w:rPr>
              <w:lastRenderedPageBreak/>
              <w:t>争，储能市场进入增长新通道，我们将稳步释放核心价值，为投资者创造可持续回报。</w:t>
            </w:r>
          </w:p>
          <w:p w14:paraId="30A7991C" w14:textId="77777777" w:rsidR="0082365B" w:rsidRPr="00F3709B" w:rsidRDefault="0082365B" w:rsidP="0082365B">
            <w:pPr>
              <w:snapToGrid w:val="0"/>
              <w:spacing w:afterLines="50" w:after="156" w:line="288" w:lineRule="auto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500EC29" w14:textId="252DDE98" w:rsidR="00490935" w:rsidRPr="0082365B" w:rsidRDefault="00490935" w:rsidP="0082365B">
            <w:pPr>
              <w:spacing w:afterLines="50" w:after="156" w:line="288" w:lineRule="auto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82365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二、投资者问答：</w:t>
            </w:r>
          </w:p>
          <w:p w14:paraId="440380AE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/>
                <w:b/>
                <w:bCs/>
                <w:szCs w:val="21"/>
              </w:rPr>
              <w:t>1.AI的发展对储能领域，特别是在数据中心的应用方面带来了哪些新增需求？公司在相关市场的订单获取及项目对接进展如何？</w:t>
            </w:r>
          </w:p>
          <w:p w14:paraId="556C6748" w14:textId="5F5876B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</w:t>
            </w:r>
            <w:r w:rsidR="00AF6C68" w:rsidRPr="00F3709B">
              <w:rPr>
                <w:rFonts w:ascii="宋体" w:eastAsia="宋体" w:hAnsi="宋体"/>
                <w:szCs w:val="21"/>
              </w:rPr>
              <w:t>储能</w:t>
            </w:r>
            <w:r w:rsidR="00AF6C68">
              <w:rPr>
                <w:rFonts w:ascii="宋体" w:eastAsia="宋体" w:hAnsi="宋体" w:hint="eastAsia"/>
                <w:szCs w:val="21"/>
              </w:rPr>
              <w:t>在</w:t>
            </w:r>
            <w:r w:rsidRPr="00F3709B">
              <w:rPr>
                <w:rFonts w:ascii="宋体" w:eastAsia="宋体" w:hAnsi="宋体"/>
                <w:szCs w:val="21"/>
              </w:rPr>
              <w:t>AI领域的应用，尤其是针对数据中心的储能需求，已成为新的发展方向</w:t>
            </w:r>
            <w:r w:rsidRPr="00F3709B">
              <w:rPr>
                <w:rFonts w:ascii="宋体" w:eastAsia="宋体" w:hAnsi="宋体" w:hint="eastAsia"/>
                <w:szCs w:val="21"/>
              </w:rPr>
              <w:t>，</w:t>
            </w:r>
            <w:r w:rsidR="00AF6C68">
              <w:rPr>
                <w:rFonts w:ascii="宋体" w:eastAsia="宋体" w:hAnsi="宋体" w:hint="eastAsia"/>
                <w:szCs w:val="21"/>
              </w:rPr>
              <w:t>其中</w:t>
            </w:r>
            <w:r w:rsidR="00AF6C68" w:rsidRPr="00F3709B">
              <w:rPr>
                <w:rFonts w:ascii="宋体" w:eastAsia="宋体" w:hAnsi="宋体"/>
                <w:szCs w:val="21"/>
              </w:rPr>
              <w:t>涉及电力电子、EMS以及响应速度等方面的新技术要求</w:t>
            </w:r>
            <w:r w:rsidR="00AF6C68" w:rsidRPr="00F3709B">
              <w:rPr>
                <w:rFonts w:ascii="宋体" w:eastAsia="宋体" w:hAnsi="宋体" w:hint="eastAsia"/>
                <w:szCs w:val="21"/>
              </w:rPr>
              <w:t>，</w:t>
            </w:r>
            <w:r w:rsidRPr="00F3709B">
              <w:rPr>
                <w:rFonts w:ascii="宋体" w:eastAsia="宋体" w:hAnsi="宋体"/>
                <w:szCs w:val="21"/>
              </w:rPr>
              <w:t>目前仍处于逐步推进阶段。</w:t>
            </w:r>
          </w:p>
          <w:p w14:paraId="3AC3075A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66FDEB7F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/>
                <w:b/>
                <w:bCs/>
                <w:szCs w:val="21"/>
              </w:rPr>
              <w:t>2.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预计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光</w:t>
            </w:r>
            <w:proofErr w:type="gramStart"/>
            <w:r w:rsidRPr="00F3709B">
              <w:rPr>
                <w:rFonts w:ascii="宋体" w:eastAsia="宋体" w:hAnsi="宋体"/>
                <w:b/>
                <w:bCs/>
                <w:szCs w:val="21"/>
              </w:rPr>
              <w:t>伏行业</w:t>
            </w:r>
            <w:proofErr w:type="gramEnd"/>
            <w:r w:rsidRPr="00F3709B">
              <w:rPr>
                <w:rFonts w:ascii="宋体" w:eastAsia="宋体" w:hAnsi="宋体"/>
                <w:b/>
                <w:bCs/>
                <w:szCs w:val="21"/>
              </w:rPr>
              <w:t>在价格走势及反内卷措施推进方面将如何发展？</w:t>
            </w:r>
          </w:p>
          <w:p w14:paraId="3640653E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答：上游环节如多晶硅料和硅片的反内卷已初见成效，部分企业三季报显示亏损收窄或实现扭亏为盈，表明行业正逐步回归理性。下游组件环节受光</w:t>
            </w:r>
            <w:proofErr w:type="gramStart"/>
            <w:r w:rsidRPr="00F3709B">
              <w:rPr>
                <w:rFonts w:ascii="宋体" w:eastAsia="宋体" w:hAnsi="宋体"/>
                <w:szCs w:val="21"/>
              </w:rPr>
              <w:t>伏项目</w:t>
            </w:r>
            <w:proofErr w:type="gramEnd"/>
            <w:r w:rsidRPr="00F3709B">
              <w:rPr>
                <w:rFonts w:ascii="宋体" w:eastAsia="宋体" w:hAnsi="宋体"/>
                <w:szCs w:val="21"/>
              </w:rPr>
              <w:t>开工节奏影响较大，目前组件价格已企稳，未再出现极端低价，说明反内卷对稳定价格有一定效果</w:t>
            </w:r>
            <w:r w:rsidRPr="00F3709B">
              <w:rPr>
                <w:rFonts w:ascii="宋体" w:eastAsia="宋体" w:hAnsi="宋体" w:hint="eastAsia"/>
                <w:szCs w:val="21"/>
              </w:rPr>
              <w:t>。</w:t>
            </w:r>
            <w:r w:rsidRPr="00F3709B">
              <w:rPr>
                <w:rFonts w:ascii="宋体" w:eastAsia="宋体" w:hAnsi="宋体"/>
                <w:szCs w:val="21"/>
              </w:rPr>
              <w:t>但</w:t>
            </w:r>
            <w:r w:rsidRPr="00F3709B">
              <w:rPr>
                <w:rFonts w:ascii="宋体" w:eastAsia="宋体" w:hAnsi="宋体" w:hint="eastAsia"/>
                <w:szCs w:val="21"/>
              </w:rPr>
              <w:t>下游</w:t>
            </w:r>
            <w:r w:rsidRPr="00F3709B">
              <w:rPr>
                <w:rFonts w:ascii="宋体" w:eastAsia="宋体" w:hAnsi="宋体"/>
                <w:szCs w:val="21"/>
              </w:rPr>
              <w:t>价格尚未回升，叠加上游价格上涨，中下游企业仍面临较大压力。光伏下游的反内卷，还有待于下游电站需求侧的一些政策释放。</w:t>
            </w:r>
          </w:p>
          <w:p w14:paraId="5F78C9E6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37E6563F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/>
                <w:b/>
                <w:bCs/>
                <w:szCs w:val="21"/>
              </w:rPr>
              <w:t>3.关于储能业务在四季度及明年的盈利和价格趋势，后续有何展望？</w:t>
            </w:r>
          </w:p>
          <w:p w14:paraId="1A8772A0" w14:textId="2C257281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</w:t>
            </w:r>
            <w:r w:rsidR="000B0624">
              <w:rPr>
                <w:rFonts w:ascii="宋体" w:eastAsia="宋体" w:hAnsi="宋体" w:hint="eastAsia"/>
                <w:szCs w:val="21"/>
              </w:rPr>
              <w:t>储能</w:t>
            </w:r>
            <w:r w:rsidRPr="00F3709B">
              <w:rPr>
                <w:rFonts w:ascii="宋体" w:eastAsia="宋体" w:hAnsi="宋体" w:hint="eastAsia"/>
                <w:szCs w:val="21"/>
              </w:rPr>
              <w:t>项目我们在签订远期订单的时候是预计一个相对</w:t>
            </w:r>
            <w:r w:rsidR="004B291F">
              <w:rPr>
                <w:rFonts w:ascii="宋体" w:eastAsia="宋体" w:hAnsi="宋体" w:hint="eastAsia"/>
                <w:szCs w:val="21"/>
              </w:rPr>
              <w:t>健康的</w:t>
            </w:r>
            <w:r w:rsidR="00A53889">
              <w:rPr>
                <w:rFonts w:ascii="宋体" w:eastAsia="宋体" w:hAnsi="宋体" w:hint="eastAsia"/>
                <w:szCs w:val="21"/>
              </w:rPr>
              <w:t>毛利</w:t>
            </w:r>
            <w:r w:rsidRPr="00F3709B">
              <w:rPr>
                <w:rFonts w:ascii="宋体" w:eastAsia="宋体" w:hAnsi="宋体" w:hint="eastAsia"/>
                <w:szCs w:val="21"/>
              </w:rPr>
              <w:t>率，而非暴利市场，同时储能我们的固定资产投入相比光伏要轻，毛利到净利的转化能力也比较强，在三季度的一些波折下依然转换成了</w:t>
            </w:r>
            <w:r w:rsidR="00AF6C68">
              <w:rPr>
                <w:rFonts w:ascii="宋体" w:eastAsia="宋体" w:hAnsi="宋体" w:hint="eastAsia"/>
                <w:szCs w:val="21"/>
              </w:rPr>
              <w:t>较</w:t>
            </w:r>
            <w:r w:rsidRPr="00F3709B">
              <w:rPr>
                <w:rFonts w:ascii="宋体" w:eastAsia="宋体" w:hAnsi="宋体" w:hint="eastAsia"/>
                <w:szCs w:val="21"/>
              </w:rPr>
              <w:t>高的净利润率。</w:t>
            </w:r>
          </w:p>
          <w:p w14:paraId="59451F64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4BD2332B" w14:textId="6D3C7BA0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.如何判断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全球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 xml:space="preserve">储能需求的趋势？国内政策发生变化的情况下，储能商业模式是否已经跑通？ </w:t>
            </w:r>
          </w:p>
          <w:p w14:paraId="5A01CB6A" w14:textId="195DB443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行业报告对全球储能未来增长的预测存在较大差异。目前重点覆盖高价市场，包括美国、加拿大、英国、澳洲以及南美部分国家，同时正在积极开发日本和欧洲市场，这些市场的项目储备增长显著。中国储能市场预计市场化程度将提升，有利于技术领先和解决方案能力强的企业，尤其利好一线厂商。随着国内储能市场化进程推进，企业将受益于不断增强的储能电站开发意愿。</w:t>
            </w:r>
          </w:p>
          <w:p w14:paraId="11E596B3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2FD307CD" w14:textId="505EB538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.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对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今年储能出货指引是否需要上调？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以及明年的出货预期？</w:t>
            </w:r>
          </w:p>
          <w:p w14:paraId="4DDF14D8" w14:textId="47625B28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 w:hint="eastAsia"/>
                <w:szCs w:val="21"/>
              </w:rPr>
              <w:lastRenderedPageBreak/>
              <w:t>答：公司今年全球储能发货量预计在</w:t>
            </w:r>
            <w:r w:rsidRPr="00F3709B">
              <w:rPr>
                <w:rFonts w:ascii="宋体" w:eastAsia="宋体" w:hAnsi="宋体"/>
                <w:szCs w:val="21"/>
              </w:rPr>
              <w:t>7-9吉瓦</w:t>
            </w:r>
            <w:r w:rsidRPr="00F3709B">
              <w:rPr>
                <w:rFonts w:ascii="宋体" w:eastAsia="宋体" w:hAnsi="宋体" w:hint="eastAsia"/>
                <w:szCs w:val="21"/>
              </w:rPr>
              <w:t>时</w:t>
            </w:r>
            <w:r w:rsidRPr="00F3709B">
              <w:rPr>
                <w:rFonts w:ascii="宋体" w:eastAsia="宋体" w:hAnsi="宋体"/>
                <w:szCs w:val="21"/>
              </w:rPr>
              <w:t>，预计将按此指引完成。明年的储能出货量</w:t>
            </w:r>
            <w:r w:rsidR="00A53889">
              <w:rPr>
                <w:rFonts w:ascii="宋体" w:eastAsia="宋体" w:hAnsi="宋体" w:hint="eastAsia"/>
                <w:szCs w:val="21"/>
              </w:rPr>
              <w:t>预计</w:t>
            </w:r>
            <w:r w:rsidRPr="00F3709B">
              <w:rPr>
                <w:rFonts w:ascii="宋体" w:eastAsia="宋体" w:hAnsi="宋体"/>
                <w:szCs w:val="21"/>
              </w:rPr>
              <w:t>将比今年有明显增长，具体预测范围将在一两周后通过美股阿</w:t>
            </w:r>
            <w:proofErr w:type="gramStart"/>
            <w:r w:rsidRPr="00F3709B">
              <w:rPr>
                <w:rFonts w:ascii="宋体" w:eastAsia="宋体" w:hAnsi="宋体"/>
                <w:szCs w:val="21"/>
              </w:rPr>
              <w:t>特</w:t>
            </w:r>
            <w:proofErr w:type="gramEnd"/>
            <w:r w:rsidRPr="00F3709B">
              <w:rPr>
                <w:rFonts w:ascii="宋体" w:eastAsia="宋体" w:hAnsi="宋体"/>
                <w:szCs w:val="21"/>
              </w:rPr>
              <w:t>斯的公告发布，届时将提供2026年发货量的正式指引。</w:t>
            </w:r>
            <w:r w:rsidRPr="00F3709B">
              <w:rPr>
                <w:rFonts w:ascii="宋体" w:eastAsia="宋体" w:hAnsi="宋体" w:hint="eastAsia"/>
                <w:szCs w:val="21"/>
              </w:rPr>
              <w:t>储能</w:t>
            </w:r>
            <w:r w:rsidR="00D657D6">
              <w:rPr>
                <w:rFonts w:ascii="宋体" w:eastAsia="宋体" w:hAnsi="宋体" w:hint="eastAsia"/>
                <w:szCs w:val="21"/>
              </w:rPr>
              <w:t>出货</w:t>
            </w:r>
            <w:r w:rsidRPr="00F3709B">
              <w:rPr>
                <w:rFonts w:ascii="宋体" w:eastAsia="宋体" w:hAnsi="宋体" w:hint="eastAsia"/>
                <w:szCs w:val="21"/>
              </w:rPr>
              <w:t>还是基本上以海外的为主，阿</w:t>
            </w:r>
            <w:proofErr w:type="gramStart"/>
            <w:r w:rsidRPr="00F3709B">
              <w:rPr>
                <w:rFonts w:ascii="宋体" w:eastAsia="宋体" w:hAnsi="宋体" w:hint="eastAsia"/>
                <w:szCs w:val="21"/>
              </w:rPr>
              <w:t>特</w:t>
            </w:r>
            <w:proofErr w:type="gramEnd"/>
            <w:r w:rsidRPr="00F3709B">
              <w:rPr>
                <w:rFonts w:ascii="宋体" w:eastAsia="宋体" w:hAnsi="宋体" w:hint="eastAsia"/>
                <w:szCs w:val="21"/>
              </w:rPr>
              <w:t>斯也是做海外储能走出去的一个典范。</w:t>
            </w:r>
          </w:p>
          <w:p w14:paraId="022F865A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7441E30A" w14:textId="0023AE68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.大美法案对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FEOC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的要求，以及从中国或东南亚向美国出口面临的关税影响，后续</w:t>
            </w:r>
            <w:r w:rsidRPr="00F3709B">
              <w:rPr>
                <w:rFonts w:ascii="宋体" w:eastAsia="宋体" w:hAnsi="宋体" w:hint="eastAsia"/>
                <w:b/>
                <w:bCs/>
                <w:szCs w:val="21"/>
              </w:rPr>
              <w:t>将</w:t>
            </w:r>
            <w:r w:rsidRPr="00F3709B">
              <w:rPr>
                <w:rFonts w:ascii="宋体" w:eastAsia="宋体" w:hAnsi="宋体"/>
                <w:b/>
                <w:bCs/>
                <w:szCs w:val="21"/>
              </w:rPr>
              <w:t>如何处理？</w:t>
            </w:r>
          </w:p>
          <w:p w14:paraId="1EAFE741" w14:textId="5E8D9F0F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</w:t>
            </w:r>
            <w:r w:rsidR="00636D58" w:rsidRPr="00F3709B">
              <w:rPr>
                <w:rFonts w:ascii="宋体" w:eastAsia="宋体" w:hAnsi="宋体" w:hint="eastAsia"/>
                <w:szCs w:val="21"/>
              </w:rPr>
              <w:t>公司</w:t>
            </w:r>
            <w:r w:rsidRPr="00F3709B">
              <w:rPr>
                <w:rFonts w:ascii="宋体" w:eastAsia="宋体" w:hAnsi="宋体"/>
                <w:szCs w:val="21"/>
              </w:rPr>
              <w:t>正积极推进OBBB</w:t>
            </w:r>
            <w:r w:rsidRPr="00F3709B">
              <w:rPr>
                <w:rFonts w:ascii="宋体" w:eastAsia="宋体" w:hAnsi="宋体" w:hint="eastAsia"/>
                <w:szCs w:val="21"/>
              </w:rPr>
              <w:t>关于FEOC合</w:t>
            </w:r>
            <w:proofErr w:type="gramStart"/>
            <w:r w:rsidRPr="00F3709B">
              <w:rPr>
                <w:rFonts w:ascii="宋体" w:eastAsia="宋体" w:hAnsi="宋体" w:hint="eastAsia"/>
                <w:szCs w:val="21"/>
              </w:rPr>
              <w:t>规</w:t>
            </w:r>
            <w:proofErr w:type="gramEnd"/>
            <w:r w:rsidRPr="00F3709B">
              <w:rPr>
                <w:rFonts w:ascii="宋体" w:eastAsia="宋体" w:hAnsi="宋体" w:hint="eastAsia"/>
                <w:szCs w:val="21"/>
              </w:rPr>
              <w:t>方面的</w:t>
            </w:r>
            <w:r w:rsidR="00636D58" w:rsidRPr="00F3709B">
              <w:rPr>
                <w:rFonts w:ascii="宋体" w:eastAsia="宋体" w:hAnsi="宋体" w:hint="eastAsia"/>
                <w:szCs w:val="21"/>
              </w:rPr>
              <w:t>应对</w:t>
            </w:r>
            <w:r w:rsidRPr="00F3709B">
              <w:rPr>
                <w:rFonts w:ascii="宋体" w:eastAsia="宋体" w:hAnsi="宋体"/>
                <w:szCs w:val="21"/>
              </w:rPr>
              <w:t>方案，包括利用公司在东南亚和美国的自有产能，以及</w:t>
            </w:r>
            <w:r w:rsidR="00636D58" w:rsidRPr="00F3709B">
              <w:rPr>
                <w:rFonts w:ascii="宋体" w:eastAsia="宋体" w:hAnsi="宋体" w:hint="eastAsia"/>
                <w:szCs w:val="21"/>
              </w:rPr>
              <w:t>供应链</w:t>
            </w:r>
            <w:r w:rsidRPr="00F3709B">
              <w:rPr>
                <w:rFonts w:ascii="宋体" w:eastAsia="宋体" w:hAnsi="宋体" w:hint="eastAsia"/>
                <w:szCs w:val="21"/>
              </w:rPr>
              <w:t>的调整</w:t>
            </w:r>
            <w:r w:rsidRPr="00F3709B">
              <w:rPr>
                <w:rFonts w:ascii="宋体" w:eastAsia="宋体" w:hAnsi="宋体"/>
                <w:szCs w:val="21"/>
              </w:rPr>
              <w:t>，以满足</w:t>
            </w:r>
            <w:r w:rsidRPr="00F3709B">
              <w:rPr>
                <w:rFonts w:ascii="宋体" w:eastAsia="宋体" w:hAnsi="宋体" w:hint="eastAsia"/>
                <w:szCs w:val="21"/>
              </w:rPr>
              <w:t>FEOC相关的</w:t>
            </w:r>
            <w:r w:rsidRPr="00F3709B">
              <w:rPr>
                <w:rFonts w:ascii="宋体" w:eastAsia="宋体" w:hAnsi="宋体"/>
                <w:szCs w:val="21"/>
              </w:rPr>
              <w:t>比例要求。此外，由于2025年底前开工的储能项目仍可获得</w:t>
            </w:r>
            <w:r w:rsidRPr="00F3709B">
              <w:rPr>
                <w:rFonts w:ascii="宋体" w:eastAsia="宋体" w:hAnsi="宋体" w:hint="eastAsia"/>
                <w:szCs w:val="21"/>
              </w:rPr>
              <w:t>FEOC免除</w:t>
            </w:r>
            <w:r w:rsidRPr="00F3709B">
              <w:rPr>
                <w:rFonts w:ascii="宋体" w:eastAsia="宋体" w:hAnsi="宋体"/>
                <w:szCs w:val="21"/>
              </w:rPr>
              <w:t>资格，因此</w:t>
            </w:r>
            <w:r w:rsidRPr="00F3709B">
              <w:rPr>
                <w:rFonts w:ascii="宋体" w:eastAsia="宋体" w:hAnsi="宋体" w:hint="eastAsia"/>
                <w:szCs w:val="21"/>
              </w:rPr>
              <w:t>对</w:t>
            </w:r>
            <w:r w:rsidRPr="00F3709B">
              <w:rPr>
                <w:rFonts w:ascii="宋体" w:eastAsia="宋体" w:hAnsi="宋体"/>
                <w:szCs w:val="21"/>
              </w:rPr>
              <w:t>2026年的需求客户具备一定灵活性</w:t>
            </w:r>
            <w:r w:rsidRPr="00F3709B">
              <w:rPr>
                <w:rFonts w:ascii="宋体" w:eastAsia="宋体" w:hAnsi="宋体" w:hint="eastAsia"/>
                <w:szCs w:val="21"/>
              </w:rPr>
              <w:t>。对新的关税，在新签订单的报价过程中已经考虑了关税成本。</w:t>
            </w:r>
          </w:p>
          <w:p w14:paraId="5D477351" w14:textId="77777777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</w:p>
          <w:p w14:paraId="191FC7F0" w14:textId="73E66AA6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/>
                <w:b/>
                <w:bCs/>
                <w:szCs w:val="21"/>
              </w:rPr>
              <w:t>7.关于明年电芯原材料价格的展望如何？</w:t>
            </w:r>
          </w:p>
          <w:p w14:paraId="73461009" w14:textId="53A0739F" w:rsidR="00E96E86" w:rsidRPr="00F3709B" w:rsidRDefault="00E96E86" w:rsidP="0082365B">
            <w:pPr>
              <w:spacing w:afterLines="50" w:after="156" w:line="288" w:lineRule="auto"/>
              <w:rPr>
                <w:rFonts w:ascii="宋体" w:eastAsia="宋体" w:hAnsi="宋体" w:hint="eastAsia"/>
                <w:szCs w:val="21"/>
              </w:rPr>
            </w:pPr>
            <w:r w:rsidRPr="00F3709B">
              <w:rPr>
                <w:rFonts w:ascii="宋体" w:eastAsia="宋体" w:hAnsi="宋体"/>
                <w:szCs w:val="21"/>
              </w:rPr>
              <w:t>答：总体来看，储能电</w:t>
            </w:r>
            <w:proofErr w:type="gramStart"/>
            <w:r w:rsidRPr="00F3709B">
              <w:rPr>
                <w:rFonts w:ascii="宋体" w:eastAsia="宋体" w:hAnsi="宋体"/>
                <w:szCs w:val="21"/>
              </w:rPr>
              <w:t>芯价格</w:t>
            </w:r>
            <w:proofErr w:type="gramEnd"/>
            <w:r w:rsidR="000B0624">
              <w:rPr>
                <w:rFonts w:ascii="宋体" w:eastAsia="宋体" w:hAnsi="宋体" w:hint="eastAsia"/>
                <w:szCs w:val="21"/>
              </w:rPr>
              <w:t>我们</w:t>
            </w:r>
            <w:r w:rsidRPr="00F3709B">
              <w:rPr>
                <w:rFonts w:ascii="宋体" w:eastAsia="宋体" w:hAnsi="宋体"/>
                <w:szCs w:val="21"/>
              </w:rPr>
              <w:t>预计不会出现大幅波动。碳酸锂资源并不短缺，且随着技术进步，低成本资源供应充足。当前供应链的紧张主要是阶段性现象，</w:t>
            </w:r>
            <w:proofErr w:type="gramStart"/>
            <w:r w:rsidRPr="00F3709B">
              <w:rPr>
                <w:rFonts w:ascii="宋体" w:eastAsia="宋体" w:hAnsi="宋体"/>
                <w:szCs w:val="21"/>
              </w:rPr>
              <w:t>与产线切换</w:t>
            </w:r>
            <w:proofErr w:type="gramEnd"/>
            <w:r w:rsidRPr="00F3709B">
              <w:rPr>
                <w:rFonts w:ascii="宋体" w:eastAsia="宋体" w:hAnsi="宋体"/>
                <w:szCs w:val="21"/>
              </w:rPr>
              <w:t>导致的产能类型和需求不匹配有关，同时短期政策因素也造成了一定的</w:t>
            </w:r>
            <w:r w:rsidRPr="00F3709B">
              <w:rPr>
                <w:rFonts w:ascii="宋体" w:eastAsia="宋体" w:hAnsi="宋体" w:hint="eastAsia"/>
                <w:szCs w:val="21"/>
              </w:rPr>
              <w:t>抢装</w:t>
            </w:r>
            <w:r w:rsidRPr="00F3709B">
              <w:rPr>
                <w:rFonts w:ascii="宋体" w:eastAsia="宋体" w:hAnsi="宋体"/>
                <w:szCs w:val="21"/>
              </w:rPr>
              <w:t>需求。长期看价格将趋于稳定。公司已在战略上提前布局，大丰电</w:t>
            </w:r>
            <w:proofErr w:type="gramStart"/>
            <w:r w:rsidRPr="00F3709B">
              <w:rPr>
                <w:rFonts w:ascii="宋体" w:eastAsia="宋体" w:hAnsi="宋体"/>
                <w:szCs w:val="21"/>
              </w:rPr>
              <w:t>芯工厂</w:t>
            </w:r>
            <w:proofErr w:type="gramEnd"/>
            <w:r w:rsidRPr="00F3709B">
              <w:rPr>
                <w:rFonts w:ascii="宋体" w:eastAsia="宋体" w:hAnsi="宋体"/>
                <w:szCs w:val="21"/>
              </w:rPr>
              <w:t>已顺利运行，自建产能并非完全替代外购，而是为了加强对技术、研发和生产过程的掌控，以便在市场发生重大变化时快速</w:t>
            </w:r>
            <w:r w:rsidR="00B87008">
              <w:rPr>
                <w:rFonts w:ascii="宋体" w:eastAsia="宋体" w:hAnsi="宋体" w:hint="eastAsia"/>
                <w:szCs w:val="21"/>
              </w:rPr>
              <w:t>应对</w:t>
            </w:r>
            <w:r w:rsidRPr="00F3709B">
              <w:rPr>
                <w:rFonts w:ascii="宋体" w:eastAsia="宋体" w:hAnsi="宋体"/>
                <w:szCs w:val="21"/>
              </w:rPr>
              <w:t>。</w:t>
            </w:r>
          </w:p>
          <w:p w14:paraId="3AB05760" w14:textId="0F1C6E42" w:rsidR="00877A48" w:rsidRPr="00F3709B" w:rsidRDefault="00877A48" w:rsidP="00497F0B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F3709B" w14:paraId="21993C8A" w14:textId="77777777" w:rsidTr="00663145">
        <w:trPr>
          <w:trHeight w:val="77"/>
        </w:trPr>
        <w:tc>
          <w:tcPr>
            <w:tcW w:w="1838" w:type="dxa"/>
          </w:tcPr>
          <w:p w14:paraId="2A48988A" w14:textId="3B720F6F" w:rsidR="006D10D0" w:rsidRPr="00F3709B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F3709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F3709B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F3709B" w14:paraId="2D25F232" w14:textId="77777777" w:rsidTr="00663145">
        <w:trPr>
          <w:trHeight w:val="77"/>
        </w:trPr>
        <w:tc>
          <w:tcPr>
            <w:tcW w:w="1838" w:type="dxa"/>
          </w:tcPr>
          <w:p w14:paraId="0EB43E2C" w14:textId="77777777" w:rsidR="006D10D0" w:rsidRPr="00F3709B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F3709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3752E2A3" w:rsidR="006D10D0" w:rsidRPr="00F3709B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F3709B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F3709B">
              <w:rPr>
                <w:rFonts w:ascii="宋体" w:eastAsia="宋体" w:hAnsi="宋体" w:cs="宋体" w:hint="eastAsia"/>
                <w:szCs w:val="21"/>
              </w:rPr>
              <w:t>025年</w:t>
            </w:r>
            <w:r w:rsidR="00F97EB9" w:rsidRPr="00F3709B">
              <w:rPr>
                <w:rFonts w:ascii="宋体" w:eastAsia="宋体" w:hAnsi="宋体" w:cs="宋体" w:hint="eastAsia"/>
                <w:szCs w:val="21"/>
              </w:rPr>
              <w:t>10</w:t>
            </w:r>
            <w:r w:rsidR="006D10D0" w:rsidRPr="00F3709B">
              <w:rPr>
                <w:rFonts w:ascii="宋体" w:eastAsia="宋体" w:hAnsi="宋体" w:cs="宋体" w:hint="eastAsia"/>
                <w:szCs w:val="21"/>
              </w:rPr>
              <w:t>月</w:t>
            </w:r>
            <w:r w:rsidR="001E627B" w:rsidRPr="00F3709B">
              <w:rPr>
                <w:rFonts w:ascii="宋体" w:eastAsia="宋体" w:hAnsi="宋体" w:cs="宋体" w:hint="eastAsia"/>
                <w:szCs w:val="21"/>
              </w:rPr>
              <w:t>31</w:t>
            </w:r>
            <w:r w:rsidR="006D10D0" w:rsidRPr="00F3709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F3709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F3709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D3C7" w14:textId="77777777" w:rsidR="006C58CF" w:rsidRDefault="006C58CF">
      <w:pPr>
        <w:rPr>
          <w:rFonts w:hint="eastAsia"/>
        </w:rPr>
      </w:pPr>
      <w:r>
        <w:separator/>
      </w:r>
    </w:p>
  </w:endnote>
  <w:endnote w:type="continuationSeparator" w:id="0">
    <w:p w14:paraId="4C8DBE24" w14:textId="77777777" w:rsidR="006C58CF" w:rsidRDefault="006C58CF">
      <w:pPr>
        <w:rPr>
          <w:rFonts w:hint="eastAsia"/>
        </w:rPr>
      </w:pPr>
      <w:r>
        <w:continuationSeparator/>
      </w:r>
    </w:p>
  </w:endnote>
  <w:endnote w:type="continuationNotice" w:id="1">
    <w:p w14:paraId="2A5528DF" w14:textId="77777777" w:rsidR="006C58CF" w:rsidRDefault="006C58C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162F" w14:textId="77777777" w:rsidR="006C58CF" w:rsidRDefault="006C58CF">
      <w:pPr>
        <w:rPr>
          <w:rFonts w:hint="eastAsia"/>
        </w:rPr>
      </w:pPr>
      <w:r>
        <w:separator/>
      </w:r>
    </w:p>
  </w:footnote>
  <w:footnote w:type="continuationSeparator" w:id="0">
    <w:p w14:paraId="495F71D1" w14:textId="77777777" w:rsidR="006C58CF" w:rsidRDefault="006C58CF">
      <w:pPr>
        <w:rPr>
          <w:rFonts w:hint="eastAsia"/>
        </w:rPr>
      </w:pPr>
      <w:r>
        <w:continuationSeparator/>
      </w:r>
    </w:p>
  </w:footnote>
  <w:footnote w:type="continuationNotice" w:id="1">
    <w:p w14:paraId="69C0CB33" w14:textId="77777777" w:rsidR="006C58CF" w:rsidRDefault="006C58CF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4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7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4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7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0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1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2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6"/>
  </w:num>
  <w:num w:numId="3" w16cid:durableId="1471750626">
    <w:abstractNumId w:val="8"/>
  </w:num>
  <w:num w:numId="4" w16cid:durableId="536772593">
    <w:abstractNumId w:val="31"/>
  </w:num>
  <w:num w:numId="5" w16cid:durableId="1039626618">
    <w:abstractNumId w:val="34"/>
  </w:num>
  <w:num w:numId="6" w16cid:durableId="1335112155">
    <w:abstractNumId w:val="19"/>
  </w:num>
  <w:num w:numId="7" w16cid:durableId="1603223439">
    <w:abstractNumId w:val="28"/>
  </w:num>
  <w:num w:numId="8" w16cid:durableId="1627420206">
    <w:abstractNumId w:val="17"/>
  </w:num>
  <w:num w:numId="9" w16cid:durableId="23290862">
    <w:abstractNumId w:val="32"/>
  </w:num>
  <w:num w:numId="10" w16cid:durableId="1962229555">
    <w:abstractNumId w:val="15"/>
  </w:num>
  <w:num w:numId="11" w16cid:durableId="86736789">
    <w:abstractNumId w:val="38"/>
  </w:num>
  <w:num w:numId="12" w16cid:durableId="572810571">
    <w:abstractNumId w:val="30"/>
  </w:num>
  <w:num w:numId="13" w16cid:durableId="2064787460">
    <w:abstractNumId w:val="33"/>
  </w:num>
  <w:num w:numId="14" w16cid:durableId="1136263891">
    <w:abstractNumId w:val="3"/>
  </w:num>
  <w:num w:numId="15" w16cid:durableId="1084649734">
    <w:abstractNumId w:val="22"/>
  </w:num>
  <w:num w:numId="16" w16cid:durableId="456920356">
    <w:abstractNumId w:val="1"/>
  </w:num>
  <w:num w:numId="17" w16cid:durableId="397361797">
    <w:abstractNumId w:val="14"/>
  </w:num>
  <w:num w:numId="18" w16cid:durableId="1648048558">
    <w:abstractNumId w:val="10"/>
  </w:num>
  <w:num w:numId="19" w16cid:durableId="1133249563">
    <w:abstractNumId w:val="20"/>
  </w:num>
  <w:num w:numId="20" w16cid:durableId="473303778">
    <w:abstractNumId w:val="41"/>
  </w:num>
  <w:num w:numId="21" w16cid:durableId="1352872445">
    <w:abstractNumId w:val="9"/>
  </w:num>
  <w:num w:numId="22" w16cid:durableId="1998219577">
    <w:abstractNumId w:val="39"/>
  </w:num>
  <w:num w:numId="23" w16cid:durableId="49010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6"/>
  </w:num>
  <w:num w:numId="25" w16cid:durableId="1770419880">
    <w:abstractNumId w:val="16"/>
  </w:num>
  <w:num w:numId="26" w16cid:durableId="1723406089">
    <w:abstractNumId w:val="18"/>
  </w:num>
  <w:num w:numId="27" w16cid:durableId="930547627">
    <w:abstractNumId w:val="12"/>
  </w:num>
  <w:num w:numId="28" w16cid:durableId="621306138">
    <w:abstractNumId w:val="7"/>
  </w:num>
  <w:num w:numId="29" w16cid:durableId="359740423">
    <w:abstractNumId w:val="2"/>
  </w:num>
  <w:num w:numId="30" w16cid:durableId="1419402682">
    <w:abstractNumId w:val="40"/>
  </w:num>
  <w:num w:numId="31" w16cid:durableId="878202169">
    <w:abstractNumId w:val="29"/>
  </w:num>
  <w:num w:numId="32" w16cid:durableId="104154611">
    <w:abstractNumId w:val="42"/>
  </w:num>
  <w:num w:numId="33" w16cid:durableId="113791921">
    <w:abstractNumId w:val="35"/>
  </w:num>
  <w:num w:numId="34" w16cid:durableId="49380989">
    <w:abstractNumId w:val="4"/>
  </w:num>
  <w:num w:numId="35" w16cid:durableId="1852597048">
    <w:abstractNumId w:val="25"/>
  </w:num>
  <w:num w:numId="36" w16cid:durableId="985282681">
    <w:abstractNumId w:val="5"/>
  </w:num>
  <w:num w:numId="37" w16cid:durableId="1119372976">
    <w:abstractNumId w:val="24"/>
  </w:num>
  <w:num w:numId="38" w16cid:durableId="1204751413">
    <w:abstractNumId w:val="21"/>
  </w:num>
  <w:num w:numId="39" w16cid:durableId="1031032308">
    <w:abstractNumId w:val="27"/>
  </w:num>
  <w:num w:numId="40" w16cid:durableId="997271381">
    <w:abstractNumId w:val="6"/>
  </w:num>
  <w:num w:numId="41" w16cid:durableId="1434352037">
    <w:abstractNumId w:val="37"/>
  </w:num>
  <w:num w:numId="42" w16cid:durableId="294145099">
    <w:abstractNumId w:val="13"/>
  </w:num>
  <w:num w:numId="43" w16cid:durableId="1819608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4E80"/>
    <w:rsid w:val="00015587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59EA"/>
    <w:rsid w:val="0003690B"/>
    <w:rsid w:val="000376BB"/>
    <w:rsid w:val="00040039"/>
    <w:rsid w:val="0004072C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6194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3F79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711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40AB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E35"/>
    <w:rsid w:val="001B2F21"/>
    <w:rsid w:val="001B33C7"/>
    <w:rsid w:val="001B3726"/>
    <w:rsid w:val="001B4888"/>
    <w:rsid w:val="001B4C8F"/>
    <w:rsid w:val="001B533A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21B"/>
    <w:rsid w:val="001D5AA0"/>
    <w:rsid w:val="001D6174"/>
    <w:rsid w:val="001D71AA"/>
    <w:rsid w:val="001D7941"/>
    <w:rsid w:val="001D7E2E"/>
    <w:rsid w:val="001E0DF7"/>
    <w:rsid w:val="001E0E8C"/>
    <w:rsid w:val="001E282D"/>
    <w:rsid w:val="001E337B"/>
    <w:rsid w:val="001E33A7"/>
    <w:rsid w:val="001E386A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DEA"/>
    <w:rsid w:val="002A4912"/>
    <w:rsid w:val="002A49F2"/>
    <w:rsid w:val="002A534F"/>
    <w:rsid w:val="002A5519"/>
    <w:rsid w:val="002A650F"/>
    <w:rsid w:val="002A6633"/>
    <w:rsid w:val="002A6A1C"/>
    <w:rsid w:val="002A73B9"/>
    <w:rsid w:val="002A74E4"/>
    <w:rsid w:val="002A7D01"/>
    <w:rsid w:val="002B0587"/>
    <w:rsid w:val="002B06BB"/>
    <w:rsid w:val="002B0BFC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3DE"/>
    <w:rsid w:val="00305CB4"/>
    <w:rsid w:val="00305FEF"/>
    <w:rsid w:val="003065C3"/>
    <w:rsid w:val="0031089C"/>
    <w:rsid w:val="0031148C"/>
    <w:rsid w:val="0031222F"/>
    <w:rsid w:val="003126C1"/>
    <w:rsid w:val="003128C6"/>
    <w:rsid w:val="00312AE1"/>
    <w:rsid w:val="003136B8"/>
    <w:rsid w:val="003140C4"/>
    <w:rsid w:val="00314100"/>
    <w:rsid w:val="00315100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7B9A"/>
    <w:rsid w:val="00360F61"/>
    <w:rsid w:val="00361E12"/>
    <w:rsid w:val="00362D11"/>
    <w:rsid w:val="00364889"/>
    <w:rsid w:val="00364AB3"/>
    <w:rsid w:val="00364AE1"/>
    <w:rsid w:val="00365167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2316"/>
    <w:rsid w:val="003A2638"/>
    <w:rsid w:val="003A4DDB"/>
    <w:rsid w:val="003A6180"/>
    <w:rsid w:val="003A6A02"/>
    <w:rsid w:val="003A6CCA"/>
    <w:rsid w:val="003A7220"/>
    <w:rsid w:val="003B021C"/>
    <w:rsid w:val="003B1327"/>
    <w:rsid w:val="003B25E3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64C"/>
    <w:rsid w:val="003E0E2D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935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0B"/>
    <w:rsid w:val="00497F80"/>
    <w:rsid w:val="004A0324"/>
    <w:rsid w:val="004A033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4EC"/>
    <w:rsid w:val="00503507"/>
    <w:rsid w:val="005038E6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229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3207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1C21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466A"/>
    <w:rsid w:val="0065621F"/>
    <w:rsid w:val="00656D09"/>
    <w:rsid w:val="00657DD5"/>
    <w:rsid w:val="006609D6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4BC4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58CF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CE4"/>
    <w:rsid w:val="007A1F9A"/>
    <w:rsid w:val="007A228B"/>
    <w:rsid w:val="007A2CE2"/>
    <w:rsid w:val="007A2CE8"/>
    <w:rsid w:val="007A2DEF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E7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E6909"/>
    <w:rsid w:val="007F0C7A"/>
    <w:rsid w:val="007F0DA9"/>
    <w:rsid w:val="007F13E2"/>
    <w:rsid w:val="007F2B15"/>
    <w:rsid w:val="007F2C9D"/>
    <w:rsid w:val="007F30EE"/>
    <w:rsid w:val="007F3717"/>
    <w:rsid w:val="007F3B11"/>
    <w:rsid w:val="007F4F31"/>
    <w:rsid w:val="007F585D"/>
    <w:rsid w:val="007F5E4F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FD"/>
    <w:rsid w:val="00822926"/>
    <w:rsid w:val="0082365B"/>
    <w:rsid w:val="00823964"/>
    <w:rsid w:val="00823D01"/>
    <w:rsid w:val="00823DA3"/>
    <w:rsid w:val="00824599"/>
    <w:rsid w:val="00824998"/>
    <w:rsid w:val="00824A27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B9D"/>
    <w:rsid w:val="00914C50"/>
    <w:rsid w:val="009166C9"/>
    <w:rsid w:val="00916B27"/>
    <w:rsid w:val="00920192"/>
    <w:rsid w:val="0092028D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77FB9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137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5E98"/>
    <w:rsid w:val="00A4667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162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E5"/>
    <w:rsid w:val="00B270B1"/>
    <w:rsid w:val="00B2732C"/>
    <w:rsid w:val="00B275E5"/>
    <w:rsid w:val="00B27E73"/>
    <w:rsid w:val="00B308AC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A5A"/>
    <w:rsid w:val="00CB6C44"/>
    <w:rsid w:val="00CB6E32"/>
    <w:rsid w:val="00CB7FA2"/>
    <w:rsid w:val="00CC0559"/>
    <w:rsid w:val="00CC0FB9"/>
    <w:rsid w:val="00CC1AB5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56F1"/>
    <w:rsid w:val="00CD5807"/>
    <w:rsid w:val="00CD5B5C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517C"/>
    <w:rsid w:val="00D65354"/>
    <w:rsid w:val="00D657D6"/>
    <w:rsid w:val="00D6594A"/>
    <w:rsid w:val="00D66446"/>
    <w:rsid w:val="00D6660C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E752B"/>
    <w:rsid w:val="00DF0B6A"/>
    <w:rsid w:val="00DF247C"/>
    <w:rsid w:val="00DF2F24"/>
    <w:rsid w:val="00DF3AB2"/>
    <w:rsid w:val="00DF4EEF"/>
    <w:rsid w:val="00DF4FBC"/>
    <w:rsid w:val="00DF533D"/>
    <w:rsid w:val="00DF5577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1D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795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6DF"/>
    <w:rsid w:val="00F5015A"/>
    <w:rsid w:val="00F507C3"/>
    <w:rsid w:val="00F510A3"/>
    <w:rsid w:val="00F526A9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483</Words>
  <Characters>2757</Characters>
  <Application>Microsoft Office Word</Application>
  <DocSecurity>0</DocSecurity>
  <Lines>22</Lines>
  <Paragraphs>6</Paragraphs>
  <ScaleCrop>false</ScaleCrop>
  <Company>JinkoSolar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26</cp:revision>
  <cp:lastPrinted>2024-02-01T18:10:00Z</cp:lastPrinted>
  <dcterms:created xsi:type="dcterms:W3CDTF">2025-10-31T07:01:00Z</dcterms:created>
  <dcterms:modified xsi:type="dcterms:W3CDTF">2025-11-02T00:18:00Z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