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right="240"/>
        <w:jc w:val="righ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证券代码：688362                                 证券简称：甬矽电子    </w:t>
      </w:r>
    </w:p>
    <w:p>
      <w:pPr>
        <w:spacing w:line="360" w:lineRule="auto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sz w:val="28"/>
        </w:rPr>
        <w:t>甬矽电子（宁波）</w:t>
      </w:r>
      <w:r>
        <w:rPr>
          <w:b/>
          <w:bCs/>
          <w:iCs/>
          <w:color w:val="000000"/>
          <w:sz w:val="28"/>
        </w:rPr>
        <w:t>股份有限公司投资者关系活动记录表</w:t>
      </w:r>
    </w:p>
    <w:p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编号：2025-0</w:t>
      </w:r>
      <w:r>
        <w:rPr>
          <w:rFonts w:hint="eastAsia"/>
          <w:bCs/>
          <w:iCs/>
          <w:color w:val="000000"/>
          <w:sz w:val="24"/>
        </w:rPr>
        <w:t>12</w:t>
      </w:r>
    </w:p>
    <w:tbl>
      <w:tblPr>
        <w:tblStyle w:val="8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6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 xml:space="preserve">特定对象调研       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>分析师会议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 xml:space="preserve">媒体采访            </w:t>
            </w:r>
            <w:r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sz w:val="24"/>
              </w:rPr>
              <w:t>业绩说明会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 xml:space="preserve">新闻发布会         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现场参观</w:t>
            </w:r>
            <w:r>
              <w:rPr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>其他 （</w:t>
            </w:r>
            <w:r>
              <w:rPr>
                <w:sz w:val="24"/>
                <w:u w:val="single"/>
              </w:rPr>
              <w:t>电话会议）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bidi="ar"/>
              </w:rPr>
              <w:t>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董事、CTO徐玉鹏先生；财务总监、副总经理金良凯先生；董事会秘书、副总经理</w:t>
            </w:r>
            <w:r>
              <w:rPr>
                <w:bCs/>
                <w:iCs/>
                <w:color w:val="000000"/>
                <w:sz w:val="24"/>
              </w:rPr>
              <w:t>李大林先生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482" w:firstLineChars="200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1、</w:t>
            </w:r>
            <w:r>
              <w:rPr>
                <w:rFonts w:hint="eastAsia"/>
                <w:b/>
                <w:bCs/>
                <w:sz w:val="24"/>
              </w:rPr>
              <w:t>第三季度公司经营情况介绍</w:t>
            </w:r>
            <w:r>
              <w:rPr>
                <w:b/>
                <w:bCs/>
                <w:sz w:val="24"/>
              </w:rPr>
              <w:t xml:space="preserve">？ </w:t>
            </w:r>
            <w:r>
              <w:rPr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整体而言，2025年前三季度，随着全球终端消费市场持续回暖，产业链去库存周期基本结束，叠加 AI 应用场景不断涌现，集成电路行业整体景气度维持在较高水平。2025年前三季度，得益于海外大客户的持续放量和国内核心端侧SoC客户群的成长，公司实现营业收入31.70亿元，同比增长24.23%，其中第三季度单季度营收11.60亿元，同比增长为25.76%，环比增长9%，刷新Q2记录，再创公司单季度营收的历史新高。前三季度实现归属于上市公司所有者的净利润6,312万元，较上年同期增长48.87%，2025年Q3三季度扣非后归母净利润回正，实现扭亏为盈。毛利率方面，规模效应逐渐体现，前三季度公司整体毛利率达16.42%，今年前三个季度的毛利率分别为14.19%、16.87%和17.82%，整体呈逐步上涨。期间费用方面，公司在产品结构和成本管控方面的优势逐步凸显，今年前三季度的管理费用率从去年同期的7.76%下降到6.24%，财务费用率从去年同期的6.02%下降到5.15%，我们相信随着公司营收规模的持续提升，期间费用率特别是管理费用率会持续下降，规模效应进一步显现。研发投入方面，公司持续投向先进封装领域，今年前三季度研发投入同比增长41.72%，占比营收6.92%。</w:t>
            </w:r>
          </w:p>
          <w:p>
            <w:pPr>
              <w:widowControl/>
              <w:spacing w:line="360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产品结构方面，前三季度系统级封装产品营收占比约41.16%，QFN营收占比约为38.41%，FC产品营收占比约15.59%，晶圆级封装</w:t>
            </w:r>
            <w:r>
              <w:rPr>
                <w:rFonts w:hint="eastAsia"/>
                <w:sz w:val="24"/>
              </w:rPr>
              <w:t>产品</w:t>
            </w:r>
            <w:r>
              <w:rPr>
                <w:sz w:val="24"/>
              </w:rPr>
              <w:t>营收占比约4.34%。公司各产品线的营收都有所增长，QFN、FC和晶圆级产品的增长速度较为突出，FC和晶圆级封装产品是公司二期项目主要投资方向，今年前三季度晶圆级封装产品营收增长同比翻倍，达到1.36亿元。从应用领域来看，AIoT占比超过六成，增速超过30%，PA和安防各占比约一成，运算和车规产品合计占比10%左右，其中车规产品增速较快，同比增长达到204.03%。客户结构方面，前三季度海外大客户营收同比增速较快。</w:t>
            </w:r>
          </w:p>
          <w:p>
            <w:pPr>
              <w:widowControl/>
              <w:spacing w:line="360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新产品布局方面，公司在2.5D产线的进展整体较为顺利，目前在与客户做产品验证，正在按照既定节奏推进。技术储备方面，公司目前已打造HCOS系列封装平台，全面覆盖了OR、硅转接板及硅桥方案，为公司后续发展奠定技术基础。</w:t>
            </w:r>
          </w:p>
          <w:p>
            <w:pPr>
              <w:widowControl/>
              <w:spacing w:line="360" w:lineRule="auto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稼动率情况</w:t>
            </w:r>
            <w:r>
              <w:rPr>
                <w:b/>
                <w:bCs/>
                <w:sz w:val="24"/>
              </w:rPr>
              <w:t>？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公司前三季度稼动率维持高位水平，如QFN、FC等产品线均处于满产状态</w:t>
            </w:r>
            <w:r>
              <w:rPr>
                <w:sz w:val="24"/>
              </w:rPr>
              <w:t>。</w:t>
            </w:r>
          </w:p>
          <w:p>
            <w:pPr>
              <w:widowControl/>
              <w:spacing w:line="360" w:lineRule="auto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、价格变动趋势？</w:t>
            </w:r>
          </w:p>
          <w:p>
            <w:pPr>
              <w:widowControl/>
              <w:spacing w:line="360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一方面，受材料价格上涨的影响，产品价格可能会因此上涨；另一方面</w:t>
            </w:r>
            <w:r>
              <w:rPr>
                <w:sz w:val="24"/>
              </w:rPr>
              <w:t>在产能饱和情况下客户可能</w:t>
            </w:r>
            <w:r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>缩短交期而主动溢价。</w:t>
            </w:r>
          </w:p>
          <w:p>
            <w:pPr>
              <w:widowControl/>
              <w:spacing w:line="360" w:lineRule="auto"/>
              <w:ind w:firstLine="482" w:firstLineChars="200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第四季度及明年收入预期</w:t>
            </w:r>
            <w:r>
              <w:rPr>
                <w:b/>
                <w:bCs/>
                <w:sz w:val="24"/>
              </w:rPr>
              <w:t xml:space="preserve">？ </w:t>
            </w:r>
            <w:r>
              <w:rPr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随着海外大客户持续放量和国内核心端侧SOC客户群成长，第四季度及明年营业收入</w:t>
            </w:r>
            <w:r>
              <w:rPr>
                <w:sz w:val="24"/>
              </w:rPr>
              <w:t>将保持增长趋势。</w:t>
            </w:r>
          </w:p>
          <w:p>
            <w:pPr>
              <w:widowControl/>
              <w:spacing w:line="360" w:lineRule="auto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资本开支情况</w:t>
            </w:r>
            <w:r>
              <w:rPr>
                <w:b/>
                <w:bCs/>
                <w:sz w:val="24"/>
              </w:rPr>
              <w:t>？</w:t>
            </w:r>
          </w:p>
          <w:p>
            <w:pPr>
              <w:spacing w:line="360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公司已审议的2025年资本开支规模在25亿元以内，较2024年保持稳定，主要投向包括现有产品线产能扩张、晶圆级封装及2.5D、FC-BGA等先进封装领域。</w:t>
            </w:r>
          </w:p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6、先进封装技术布局情况</w:t>
            </w:r>
            <w:r>
              <w:rPr>
                <w:b/>
                <w:bCs/>
                <w:sz w:val="24"/>
              </w:rPr>
              <w:t xml:space="preserve">? </w:t>
            </w: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公司坚定践行技术创新战略，以前瞻性布局切入先进封装领域，基于自有的Chiplet技术推出了FH-BSAP（Forehope-Brick-Style</w:t>
            </w:r>
            <w:r>
              <w:rPr>
                <w:sz w:val="24"/>
              </w:rPr>
              <w:t xml:space="preserve"> Advanced </w:t>
            </w:r>
            <w:r>
              <w:rPr>
                <w:rFonts w:hint="eastAsia"/>
                <w:sz w:val="24"/>
              </w:rPr>
              <w:t>Package）积木式先进封装技术平台。涵盖RWLP系列（晶圆级重构封装，Fan-out扇出封装）、HCOS系列（2.5D晶圆级/基板上异构封装）、Vertical系列（晶圆级垂直芯片堆栈封装）等，精准适配Fan-out（FO）、2.5D/3D先进晶圆级封装等多元化先进封装技术需求。</w:t>
            </w:r>
          </w:p>
          <w:p>
            <w:pPr>
              <w:widowControl/>
              <w:spacing w:line="360" w:lineRule="auto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7、海外业务营收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展望</w:t>
            </w:r>
            <w:r>
              <w:rPr>
                <w:b/>
                <w:bCs/>
                <w:sz w:val="24"/>
              </w:rPr>
              <w:t>？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基于目前政策环境，海外客户有寻求供应链本土化的考量。随着与现有海外客户的深入合作以及新的海外客户的拓展，未来海外营收增速预计将会超过公司整体营收增速</w:t>
            </w:r>
            <w:r>
              <w:rPr>
                <w:sz w:val="24"/>
              </w:rPr>
              <w:t>。</w:t>
            </w:r>
          </w:p>
          <w:p>
            <w:pPr>
              <w:widowControl/>
              <w:spacing w:line="360" w:lineRule="auto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8、未来主要利润增长点</w:t>
            </w:r>
            <w:r>
              <w:rPr>
                <w:b/>
                <w:bCs/>
                <w:sz w:val="24"/>
              </w:rPr>
              <w:t>？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随着营收规模扩张，规模效应显现，产能利用率提升，单位成本下降，同时期间费用不会随收入线性增长，从而对利润形成正向贡献；折旧方面，随着早期投入的设备折旧陆续结束，利润将逐步释放；产品结构方面，公司先进封装产品占比持续提高，将会继续对利润产生正向影响。</w:t>
            </w:r>
          </w:p>
          <w:p>
            <w:pPr>
              <w:widowControl/>
              <w:spacing w:line="360" w:lineRule="auto"/>
              <w:ind w:firstLine="482" w:firstLineChars="200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9、下游应用领域占比</w:t>
            </w:r>
            <w:r>
              <w:rPr>
                <w:b/>
                <w:bCs/>
                <w:sz w:val="24"/>
              </w:rPr>
              <w:t>？</w:t>
            </w:r>
          </w:p>
          <w:p>
            <w:pPr>
              <w:widowControl/>
              <w:spacing w:line="360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从应用领域来看，AIoT占比接近70%，增速超过30%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PA和安防各占比约为10%，运算和车规产品合计占比10%左右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widowControl/>
              <w:spacing w:line="360" w:lineRule="auto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10、</w:t>
            </w:r>
            <w:r>
              <w:rPr>
                <w:b/>
                <w:bCs/>
                <w:sz w:val="24"/>
              </w:rPr>
              <w:t>封测一体化</w:t>
            </w:r>
            <w:r>
              <w:rPr>
                <w:rFonts w:hint="eastAsia"/>
                <w:b/>
                <w:bCs/>
                <w:sz w:val="24"/>
              </w:rPr>
              <w:t>方案情况？</w:t>
            </w:r>
          </w:p>
          <w:p>
            <w:pPr>
              <w:widowControl/>
              <w:spacing w:line="360" w:lineRule="auto"/>
              <w:ind w:firstLine="480" w:firstLineChars="200"/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公司</w:t>
            </w:r>
            <w:r>
              <w:rPr>
                <w:sz w:val="24"/>
              </w:rPr>
              <w:t>致力于打造成为最具竞争力的一站式Turnkey封测基地，而公司也具备“Bumping+CP+FC+FT”的一站式交付能力。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30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>
      <w:pPr>
        <w:widowControl/>
        <w:spacing w:line="360" w:lineRule="auto"/>
        <w:jc w:val="both"/>
        <w:rPr>
          <w:rFonts w:hint="eastAsia" w:eastAsia="宋体"/>
          <w:sz w:val="24"/>
          <w:lang w:eastAsia="zh-CN"/>
        </w:rPr>
      </w:pPr>
      <w:r>
        <w:rPr>
          <w:sz w:val="24"/>
        </w:rPr>
        <w:t>注</w:t>
      </w:r>
      <w:r>
        <w:rPr>
          <w:rFonts w:hint="eastAsia"/>
          <w:sz w:val="24"/>
          <w:lang w:eastAsia="zh-CN"/>
        </w:rPr>
        <w:t>：</w:t>
      </w:r>
      <w:r>
        <w:rPr>
          <w:sz w:val="24"/>
        </w:rPr>
        <w:t>公司严格遵守信息披露相关规则与投资者进行交流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如涉及公司战略规划等意向性目标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不能视为公司或管理层对公司业绩的保证或承诺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敬请广大投资者注意投资风险</w:t>
      </w:r>
      <w:r>
        <w:rPr>
          <w:rFonts w:hint="eastAsia"/>
          <w:sz w:val="24"/>
          <w:lang w:eastAsia="zh-CN"/>
        </w:rPr>
        <w:t>。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MTIyMGY2MDRhNzYwY2ViNWVhMGY4NmU3Zjc0Y2EifQ=="/>
  </w:docVars>
  <w:rsids>
    <w:rsidRoot w:val="002D0F71"/>
    <w:rsid w:val="00254519"/>
    <w:rsid w:val="002D0F71"/>
    <w:rsid w:val="00A507CD"/>
    <w:rsid w:val="00AE12ED"/>
    <w:rsid w:val="0CB11F5E"/>
    <w:rsid w:val="126B4221"/>
    <w:rsid w:val="16E41182"/>
    <w:rsid w:val="1F0409A1"/>
    <w:rsid w:val="23F95D47"/>
    <w:rsid w:val="28414686"/>
    <w:rsid w:val="2A9867EC"/>
    <w:rsid w:val="37875627"/>
    <w:rsid w:val="385917F5"/>
    <w:rsid w:val="38877E93"/>
    <w:rsid w:val="3EEE7FBE"/>
    <w:rsid w:val="448406DC"/>
    <w:rsid w:val="4BC14069"/>
    <w:rsid w:val="4D9A031C"/>
    <w:rsid w:val="4FFD419A"/>
    <w:rsid w:val="553A61C5"/>
    <w:rsid w:val="5727016D"/>
    <w:rsid w:val="59F606D4"/>
    <w:rsid w:val="5F677B8F"/>
    <w:rsid w:val="66B81CDD"/>
    <w:rsid w:val="6FA66085"/>
    <w:rsid w:val="732E5CC1"/>
    <w:rsid w:val="78AC0E9F"/>
    <w:rsid w:val="79102D89"/>
    <w:rsid w:val="7CA314E3"/>
    <w:rsid w:val="7F19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annotation text"/>
    <w:basedOn w:val="1"/>
    <w:link w:val="15"/>
    <w:qFormat/>
    <w:uiPriority w:val="99"/>
    <w:pPr>
      <w:jc w:val="left"/>
    </w:p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99"/>
    <w:rPr>
      <w:b/>
      <w:bCs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paragraph" w:customStyle="1" w:styleId="12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批注框文本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修订2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3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4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5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1718</Words>
  <Characters>2008</Characters>
  <Lines>16</Lines>
  <Paragraphs>4</Paragraphs>
  <TotalTime>61</TotalTime>
  <ScaleCrop>false</ScaleCrop>
  <LinksUpToDate>false</LinksUpToDate>
  <CharactersWithSpaces>2087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2023-12-05T09:44:00Z</dcterms:created>
  <dc:creator>周钡钡</dc:creator>
  <cp:lastModifiedBy>zhengquanbu</cp:lastModifiedBy>
  <dcterms:modified xsi:type="dcterms:W3CDTF">2025-10-31T06:49:37Z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EC3FC910820145E6A0D28C1741A9FA0D_13</vt:lpwstr>
  </property>
  <property fmtid="{D5CDD505-2E9C-101B-9397-08002B2CF9AE}" pid="4" name="KSOTemplateDocerSaveRecord">
    <vt:lpwstr>eyJoZGlkIjoiMDZmN2VlOWFiNmJkMWVlMjkzNDU0NzNlMDRlYWVjNjIiLCJ1c2VySWQiOiIxMzg4MzUyNjAyIn0=</vt:lpwstr>
  </property>
</Properties>
</file>