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C1BA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</w:rPr>
      </w:pPr>
      <w:r>
        <w:rPr>
          <w:rFonts w:hint="eastAsia" w:ascii="宋体" w:hAnsi="宋体"/>
          <w:b/>
          <w:iCs/>
          <w:color w:val="000000"/>
          <w:sz w:val="24"/>
        </w:rPr>
        <w:t>证券代码：6</w:t>
      </w:r>
      <w:r>
        <w:rPr>
          <w:rFonts w:ascii="宋体" w:hAnsi="宋体"/>
          <w:b/>
          <w:iCs/>
          <w:color w:val="000000"/>
          <w:sz w:val="24"/>
        </w:rPr>
        <w:t xml:space="preserve">88268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>证券简称：华特气体</w:t>
      </w:r>
    </w:p>
    <w:p w14:paraId="042D792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广东华特气体股份有限公司</w:t>
      </w:r>
    </w:p>
    <w:p w14:paraId="195F9CE9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722814F">
      <w:pPr>
        <w:spacing w:line="400" w:lineRule="exact"/>
        <w:jc w:val="righ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ascii="宋体" w:hAnsi="宋体"/>
          <w:bCs/>
          <w:iCs/>
          <w:color w:val="000000"/>
          <w:sz w:val="24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8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4D23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7BF4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26FC04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7F5E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154B6F7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20E3885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新闻发布会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28BDA98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7364D65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A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C938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C6ABB"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重阳投资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、中欧基金、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中泽控股集团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中再资产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中云辉资本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中邮证券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中邮人寿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中意资产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中信证券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中信银行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中信建投证券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中新融创资本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中天汇富基金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中泰证券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中泓汇富资产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中船财务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至璞资产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招商证券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长江证券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长城证券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泽鑫毅德投资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匀升投资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远望角投资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裕兰资本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永瑞私募基金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英大国际信托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谢诺辰阳私募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湘财证券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西部研发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天风证券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泰山财产保险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太平国发(苏州)资本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世嘉控股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盛曦投资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申万宏源证券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尚诚资产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方物私募基金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三商资产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瑞银集团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bookmarkStart w:id="0" w:name="OLE_LINK1"/>
            <w:r>
              <w:rPr>
                <w:rFonts w:hint="default" w:ascii="宋体" w:hAnsi="宋体" w:eastAsia="宋体"/>
                <w:sz w:val="24"/>
                <w:lang w:val="en-US" w:eastAsia="zh-CN"/>
              </w:rPr>
              <w:t>瑞民私募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瑞华投资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前海汇杰达理资本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千合资本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鹏格斯资产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宁银理财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名禹资产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民生证券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米牛投资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茂源财富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龙远投资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瞰道资产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凯丰投资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聚联汇投资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金之灏基金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嘉世私募基金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汇丰晋信基金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汇安基金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、汇添富基金、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环球富盛理财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、华福证券、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华创证券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华宝信托投资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华安证券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厚坡私募基金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红塔证券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红石榴私募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弘尚资产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和谐健康保险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合晟资产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海通国际证券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果实私募基金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国信证券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国</w:t>
            </w:r>
            <w:bookmarkEnd w:id="0"/>
            <w:r>
              <w:rPr>
                <w:rFonts w:hint="default" w:ascii="宋体" w:hAnsi="宋体" w:eastAsia="宋体"/>
                <w:sz w:val="24"/>
                <w:lang w:val="en-US" w:eastAsia="zh-CN"/>
              </w:rPr>
              <w:t>晖投资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国都证券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贵源投资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光大证券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光大保德信基金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耕霁(上海)投资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富国基金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蜂巢基金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方正证券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东兴证券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东方财富证券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第一创业证券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创金合信基金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财通证券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毕盛资产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源信资产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邦政资产</w:t>
            </w:r>
          </w:p>
        </w:tc>
      </w:tr>
      <w:tr w14:paraId="7AFA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50F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52414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default" w:ascii="宋体" w:hAnsi="宋体"/>
                <w:sz w:val="24"/>
                <w:lang w:val="en-US"/>
              </w:rPr>
              <w:t>-2025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年11月4日</w:t>
            </w:r>
          </w:p>
        </w:tc>
      </w:tr>
      <w:tr w14:paraId="770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DAB9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9F8B90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远程音频、线上电话会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公司会议室</w:t>
            </w:r>
          </w:p>
        </w:tc>
      </w:tr>
      <w:tr w14:paraId="21A5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1B85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E05E4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董事会秘书：万灵芝</w:t>
            </w:r>
          </w:p>
        </w:tc>
      </w:tr>
      <w:tr w14:paraId="4761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AAF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33EBAD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43A4D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rPr>
                <w:rStyle w:val="15"/>
                <w:rFonts w:hint="default"/>
              </w:rPr>
            </w:pPr>
            <w:r>
              <w:rPr>
                <w:rStyle w:val="15"/>
                <w:rFonts w:hint="default"/>
              </w:rPr>
              <w:t>一</w:t>
            </w:r>
            <w:r>
              <w:rPr>
                <w:rStyle w:val="15"/>
                <w:rFonts w:hint="default"/>
                <w:b/>
              </w:rPr>
              <w:t>、公司的基本情况介绍及最近主要变化。</w:t>
            </w:r>
          </w:p>
          <w:p w14:paraId="33B5D9A2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rPr>
                <w:rStyle w:val="15"/>
                <w:rFonts w:hint="default"/>
              </w:rPr>
            </w:pPr>
            <w:r>
              <w:rPr>
                <w:rStyle w:val="15"/>
                <w:rFonts w:hint="default"/>
              </w:rPr>
              <w:t>广东华特气体股份有限公司（以下简称</w:t>
            </w:r>
            <w:r>
              <w:rPr>
                <w:rStyle w:val="15"/>
                <w:rFonts w:hint="eastAsia"/>
                <w:lang w:eastAsia="zh-CN"/>
              </w:rPr>
              <w:t>“</w:t>
            </w:r>
            <w:r>
              <w:rPr>
                <w:rStyle w:val="15"/>
                <w:rFonts w:hint="eastAsia"/>
                <w:lang w:val="en-US" w:eastAsia="zh-CN"/>
              </w:rPr>
              <w:t>华特气体”或</w:t>
            </w:r>
            <w:r>
              <w:rPr>
                <w:rStyle w:val="15"/>
                <w:rFonts w:hint="default"/>
              </w:rPr>
              <w:t>“公司”），成立于1999年，于2019年12月在上交所科创板上市，股票代码：688268。华特气体是一家专注于特种气体国产化，聚焦主营业务发展的公司；长期以来，公司坚持自主可控、创新发展，是率先打破极大规模集成电路、新型显示面板、高端装备制造、新能源等尖端领域气体材料进口制约的气体厂商。</w:t>
            </w:r>
          </w:p>
          <w:p w14:paraId="10574FD2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rPr>
                <w:rStyle w:val="15"/>
                <w:rFonts w:hint="eastAsia"/>
                <w:lang w:eastAsia="zh-CN"/>
              </w:rPr>
            </w:pPr>
            <w:r>
              <w:rPr>
                <w:rStyle w:val="15"/>
                <w:rFonts w:hint="default"/>
              </w:rPr>
              <w:t>公司主营业务以特种气体的研发、生产及销售为核心，辅以普通工业气体和相关气体设备与工程业务，提供气体一站式综合应用解决方案。公司的特种气体主要面向集成电路、显示面板、光伏新能源、光纤光缆等新兴产业。随着信息化、智能化技术的快速发展，半导体芯片及器件产品在半导体照明、新一代移动通信、智能电网、新能源汽车、智能驾驶、数据中心、消费类电子等领域得到广泛应用。公司的电子特种气体产品在电子领域实现了包括高纯四氟化碳、高纯六氟乙烷、光刻气、高纯二氧化碳、高纯一氧化碳、高纯氨、高纯一氧化氮、高纯三氟甲烷、高纯八氟丙烷、锗烷、高纯乙烯、高纯甲烷、</w:t>
            </w:r>
            <w:r>
              <w:rPr>
                <w:rStyle w:val="15"/>
              </w:rPr>
              <w:t>高纯六</w:t>
            </w:r>
            <w:r>
              <w:rPr>
                <w:rStyle w:val="15"/>
                <w:rFonts w:hint="default"/>
              </w:rPr>
              <w:t>氟丁二烯等众多产品的进口替代。公司自主研发的氟碳类、光刻稀混气类、氢化物、氮氧化合物等产品主要应用在芯片制程工艺中的刻蚀、清洗、光刻、外延、沉积/成膜、离子注入等环节</w:t>
            </w:r>
            <w:r>
              <w:rPr>
                <w:rStyle w:val="15"/>
                <w:rFonts w:hint="eastAsia"/>
                <w:lang w:eastAsia="zh-CN"/>
              </w:rPr>
              <w:t>。</w:t>
            </w:r>
          </w:p>
          <w:p w14:paraId="78629E44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Style w:val="15"/>
                <w:rFonts w:hint="eastAsia"/>
              </w:rPr>
              <w:t>公司掌握了特种气体从生产、存储、检测到应用服务全流程涉及的关键技术，包括气体合成、纯化、混配、气瓶处理、分析检测以及供气系统的设计、安装、日常维护等环节。公司精益求精，在原有核心技术基础上不断深入研究，持续提升各节点技术水平，追求更高的纯度、更低的杂质含量、更稳定的质量、更高的检测精度。公司经过多年行业沉淀在高端市场领域形成了突破，积累了</w:t>
            </w:r>
            <w:r>
              <w:rPr>
                <w:rStyle w:val="15"/>
                <w:rFonts w:hint="eastAsia"/>
                <w:lang w:val="en-US" w:eastAsia="zh-CN"/>
              </w:rPr>
              <w:t>国内外</w:t>
            </w:r>
            <w:r>
              <w:rPr>
                <w:rStyle w:val="15"/>
                <w:rFonts w:hint="eastAsia"/>
              </w:rPr>
              <w:t>众多优质客户，尤其在集成电路领域，对国内8-12寸芯片厂商的覆盖率处于行业领先地位。</w:t>
            </w:r>
            <w:r>
              <w:rPr>
                <w:rStyle w:val="15"/>
                <w:rFonts w:hint="eastAsia"/>
                <w:lang w:val="en-US" w:eastAsia="zh-CN"/>
              </w:rPr>
              <w:t>公司有</w:t>
            </w:r>
            <w:r>
              <w:rPr>
                <w:rStyle w:val="15"/>
                <w:rFonts w:hint="eastAsia"/>
              </w:rPr>
              <w:t>超过20个产品已经批量供应14纳米先进工艺，超过13个产品供应到7纳米先进工艺，2个产品进入到5纳米先进工艺。第三代功率器件半导体方面，公司产品满足碳化硅（SiC）与氮化镓（GaN）等生产需求。公司也已进入到全国最大的氮化镓厂和碳化硅厂供应链。</w:t>
            </w:r>
          </w:p>
          <w:p w14:paraId="782BEEAC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经过三十多年的发展，公司的技术积累日益深厚。截至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2025年半年度</w:t>
            </w:r>
            <w:r>
              <w:rPr>
                <w:rFonts w:hint="eastAsia" w:ascii="宋体" w:hAnsi="宋体"/>
                <w:color w:val="000000"/>
                <w:sz w:val="24"/>
              </w:rPr>
              <w:t>，公司累计取得259项专利，其中40项发明专利、216项实用新型专利及3项外观设计专利。公司主持或参与制定包括多项电子工业用气体国家标准在内的67项标准，6项行业标准，1项国际标准和11项团体标准。公司承担了国家重大科技专项（02专项）中的《高纯三氟甲烷的研发与中试》课题等重点科研项目，还承担了广东省战略性新兴产业区域集聚发展试点（新一代显示技术）项目中的“平板显示器用特种气体”研发，公司于2017年、2019年、2021年、2023年作为唯一的气体公司连续四届入选“中国电子化工材料专业十强”。2023年公司荣获中国集成电路创新联盟第六届“IC创新奖”成果产业化奖（集成电路用稀混光刻气的研发与产业化）、公司入选国家级第五批专精特新“小巨人”企业、荣获“广东省专精特新中小企业”、“广东省创新型中小企业”、“广东省专利奖优秀奖”、“广东省制造业单项冠军”、“2023年度佛山市科技领军企业（创新效能）”、“2023年度全国气体标准化先进单位”、“2023年度梅州扶贫济困奖铜奖”、“2024年佛山市南海区政府质量奖”、“2024上市公司口碑榜（新材料最具成长上市公司）”、“TOP20大湾区上市公司-公司治理”等荣誉称号。</w:t>
            </w:r>
          </w:p>
          <w:p w14:paraId="51054641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二、问答环节</w:t>
            </w:r>
          </w:p>
          <w:p w14:paraId="5856570B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rPr>
                <w:rStyle w:val="15"/>
                <w:rFonts w:hint="default" w:cs="宋体"/>
                <w:b/>
                <w:bCs/>
              </w:rPr>
            </w:pPr>
            <w:r>
              <w:rPr>
                <w:rStyle w:val="15"/>
                <w:rFonts w:hint="default" w:cs="宋体"/>
                <w:b/>
                <w:bCs/>
              </w:rPr>
              <w:t>1、</w:t>
            </w:r>
            <w:r>
              <w:rPr>
                <w:rStyle w:val="15"/>
                <w:rFonts w:hint="eastAsia" w:cs="宋体"/>
                <w:b/>
                <w:bCs/>
                <w:lang w:eastAsia="zh-CN"/>
              </w:rPr>
              <w:t>2</w:t>
            </w: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025</w:t>
            </w:r>
            <w:r>
              <w:rPr>
                <w:rStyle w:val="15"/>
                <w:rFonts w:hint="default" w:cs="宋体"/>
                <w:b/>
                <w:bCs/>
              </w:rPr>
              <w:t>年</w:t>
            </w: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前三季度</w:t>
            </w:r>
            <w:r>
              <w:rPr>
                <w:rStyle w:val="15"/>
                <w:rFonts w:hint="default" w:cs="宋体"/>
                <w:b/>
                <w:bCs/>
              </w:rPr>
              <w:t>业绩解读？</w:t>
            </w:r>
          </w:p>
          <w:p w14:paraId="50C605FA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Style w:val="15"/>
                <w:rFonts w:cs="宋体"/>
                <w:b w:val="0"/>
                <w:bCs w:val="0"/>
              </w:rPr>
            </w:pPr>
            <w:r>
              <w:rPr>
                <w:rStyle w:val="15"/>
                <w:rFonts w:hint="eastAsia" w:cs="宋体"/>
                <w:b w:val="0"/>
                <w:bCs w:val="0"/>
                <w:lang w:val="en-US" w:eastAsia="zh-CN"/>
              </w:rPr>
              <w:t>答：报告期内，</w:t>
            </w:r>
            <w:r>
              <w:rPr>
                <w:rStyle w:val="15"/>
                <w:rFonts w:cs="宋体"/>
                <w:b w:val="0"/>
                <w:bCs w:val="0"/>
              </w:rPr>
              <w:t>公司实现营业总收入</w:t>
            </w:r>
            <w:r>
              <w:rPr>
                <w:rStyle w:val="15"/>
                <w:rFonts w:cs="宋体"/>
              </w:rPr>
              <w:t>104,413.65</w:t>
            </w:r>
            <w:r>
              <w:rPr>
                <w:rStyle w:val="15"/>
                <w:rFonts w:cs="宋体"/>
                <w:b w:val="0"/>
                <w:bCs w:val="0"/>
              </w:rPr>
              <w:t>万元，同比下降</w:t>
            </w:r>
            <w:r>
              <w:rPr>
                <w:rStyle w:val="15"/>
                <w:rFonts w:hint="eastAsia" w:cs="宋体"/>
                <w:b w:val="0"/>
                <w:bCs w:val="0"/>
                <w:lang w:val="en-US" w:eastAsia="zh-CN"/>
              </w:rPr>
              <w:t>1.36</w:t>
            </w:r>
            <w:r>
              <w:rPr>
                <w:rStyle w:val="15"/>
                <w:rFonts w:cs="宋体"/>
                <w:b w:val="0"/>
                <w:bCs w:val="0"/>
              </w:rPr>
              <w:t>%，公司上半年实现归属于母公司股东的净利润</w:t>
            </w:r>
            <w:r>
              <w:rPr>
                <w:rStyle w:val="15"/>
                <w:rFonts w:cs="宋体"/>
              </w:rPr>
              <w:t>11,897.82</w:t>
            </w:r>
            <w:r>
              <w:rPr>
                <w:rStyle w:val="15"/>
                <w:rFonts w:cs="宋体"/>
                <w:b w:val="0"/>
                <w:bCs w:val="0"/>
              </w:rPr>
              <w:t>万元，同比下降</w:t>
            </w:r>
            <w:r>
              <w:rPr>
                <w:rStyle w:val="15"/>
                <w:rFonts w:hint="eastAsia" w:cs="宋体"/>
                <w:b w:val="0"/>
                <w:bCs w:val="0"/>
                <w:lang w:val="en-US" w:eastAsia="zh-CN"/>
              </w:rPr>
              <w:t>10</w:t>
            </w:r>
            <w:r>
              <w:rPr>
                <w:rStyle w:val="15"/>
                <w:rFonts w:cs="宋体"/>
                <w:b w:val="0"/>
                <w:bCs w:val="0"/>
              </w:rPr>
              <w:t>.</w:t>
            </w:r>
            <w:r>
              <w:rPr>
                <w:rStyle w:val="15"/>
                <w:rFonts w:hint="eastAsia" w:cs="宋体"/>
                <w:b w:val="0"/>
                <w:bCs w:val="0"/>
                <w:lang w:val="en-US" w:eastAsia="zh-CN"/>
              </w:rPr>
              <w:t>32</w:t>
            </w:r>
            <w:r>
              <w:rPr>
                <w:rStyle w:val="15"/>
                <w:rFonts w:cs="宋体"/>
                <w:b w:val="0"/>
                <w:bCs w:val="0"/>
              </w:rPr>
              <w:t>%，实现归属于母公司股东的扣除非经常性损益的净利润</w:t>
            </w:r>
            <w:r>
              <w:rPr>
                <w:rStyle w:val="15"/>
                <w:rFonts w:cs="宋体"/>
              </w:rPr>
              <w:t>11,577.05</w:t>
            </w:r>
            <w:r>
              <w:rPr>
                <w:rStyle w:val="15"/>
                <w:rFonts w:cs="宋体"/>
                <w:b w:val="0"/>
                <w:bCs w:val="0"/>
              </w:rPr>
              <w:t>万元，同比下降</w:t>
            </w:r>
            <w:r>
              <w:rPr>
                <w:rStyle w:val="15"/>
                <w:rFonts w:hint="eastAsia" w:cs="宋体"/>
                <w:b w:val="0"/>
                <w:bCs w:val="0"/>
                <w:lang w:val="en-US" w:eastAsia="zh-CN"/>
              </w:rPr>
              <w:t>10</w:t>
            </w:r>
            <w:r>
              <w:rPr>
                <w:rStyle w:val="15"/>
                <w:rFonts w:cs="宋体"/>
                <w:b w:val="0"/>
                <w:bCs w:val="0"/>
              </w:rPr>
              <w:t>.</w:t>
            </w:r>
            <w:r>
              <w:rPr>
                <w:rStyle w:val="15"/>
                <w:rFonts w:hint="eastAsia" w:cs="宋体"/>
                <w:b w:val="0"/>
                <w:bCs w:val="0"/>
                <w:lang w:val="en-US" w:eastAsia="zh-CN"/>
              </w:rPr>
              <w:t>04</w:t>
            </w:r>
            <w:r>
              <w:rPr>
                <w:rStyle w:val="15"/>
                <w:rFonts w:cs="宋体"/>
                <w:b w:val="0"/>
                <w:bCs w:val="0"/>
              </w:rPr>
              <w:t>%；报告期末，公司总资产</w:t>
            </w:r>
            <w:r>
              <w:rPr>
                <w:rStyle w:val="15"/>
                <w:rFonts w:cs="宋体"/>
              </w:rPr>
              <w:t>353,481.57</w:t>
            </w:r>
            <w:r>
              <w:rPr>
                <w:rStyle w:val="15"/>
                <w:rFonts w:cs="宋体"/>
                <w:b w:val="0"/>
                <w:bCs w:val="0"/>
              </w:rPr>
              <w:t>万元，较报告期初增长</w:t>
            </w:r>
            <w:r>
              <w:rPr>
                <w:rStyle w:val="15"/>
                <w:rFonts w:hint="eastAsia" w:cs="宋体"/>
                <w:b w:val="0"/>
                <w:bCs w:val="0"/>
                <w:lang w:val="en-US" w:eastAsia="zh-CN"/>
              </w:rPr>
              <w:t>7.08</w:t>
            </w:r>
            <w:r>
              <w:rPr>
                <w:rStyle w:val="15"/>
                <w:rFonts w:cs="宋体"/>
                <w:b w:val="0"/>
                <w:bCs w:val="0"/>
              </w:rPr>
              <w:t>%，归属于上市公司股东的净资产</w:t>
            </w:r>
            <w:r>
              <w:rPr>
                <w:rStyle w:val="15"/>
                <w:rFonts w:cs="宋体"/>
              </w:rPr>
              <w:t>200,250.42</w:t>
            </w:r>
            <w:r>
              <w:rPr>
                <w:rStyle w:val="15"/>
                <w:rFonts w:cs="宋体"/>
                <w:b w:val="0"/>
                <w:bCs w:val="0"/>
              </w:rPr>
              <w:t>万元，较报告期初增长</w:t>
            </w:r>
            <w:r>
              <w:rPr>
                <w:rStyle w:val="15"/>
                <w:rFonts w:hint="eastAsia" w:cs="宋体"/>
                <w:b w:val="0"/>
                <w:bCs w:val="0"/>
                <w:lang w:val="en-US" w:eastAsia="zh-CN"/>
              </w:rPr>
              <w:t>2.7</w:t>
            </w:r>
            <w:r>
              <w:rPr>
                <w:rStyle w:val="15"/>
                <w:rFonts w:cs="宋体"/>
                <w:b w:val="0"/>
                <w:bCs w:val="0"/>
              </w:rPr>
              <w:t>%。</w:t>
            </w:r>
          </w:p>
          <w:p w14:paraId="58D11251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Style w:val="15"/>
                <w:rFonts w:cs="宋体"/>
                <w:b w:val="0"/>
                <w:bCs w:val="0"/>
              </w:rPr>
            </w:pPr>
            <w:r>
              <w:rPr>
                <w:rStyle w:val="15"/>
                <w:rFonts w:hint="eastAsia" w:cs="宋体"/>
                <w:lang w:val="en-US" w:eastAsia="zh-CN"/>
              </w:rPr>
              <w:t>前三季度</w:t>
            </w:r>
            <w:r>
              <w:rPr>
                <w:rStyle w:val="15"/>
                <w:rFonts w:cs="宋体"/>
              </w:rPr>
              <w:t>，行业</w:t>
            </w:r>
            <w:r>
              <w:rPr>
                <w:rStyle w:val="15"/>
                <w:rFonts w:hint="eastAsia" w:cs="宋体"/>
                <w:lang w:val="en-US" w:eastAsia="zh-CN"/>
              </w:rPr>
              <w:t>仍</w:t>
            </w:r>
            <w:r>
              <w:rPr>
                <w:rStyle w:val="15"/>
                <w:rFonts w:cs="宋体"/>
              </w:rPr>
              <w:t>呈现“需求端回暖、价格端承压”的显著特征，</w:t>
            </w:r>
            <w:r>
              <w:rPr>
                <w:rStyle w:val="15"/>
                <w:rFonts w:hint="eastAsia" w:cs="宋体"/>
                <w:lang w:val="en-US" w:eastAsia="zh-CN"/>
              </w:rPr>
              <w:t>部分产品价格竞争依然存在。同时，由于报告期内部分费用增加以及汇兑损益，</w:t>
            </w:r>
            <w:r>
              <w:rPr>
                <w:rStyle w:val="15"/>
                <w:rFonts w:hint="eastAsia" w:cs="宋体"/>
                <w:b w:val="0"/>
                <w:bCs w:val="0"/>
              </w:rPr>
              <w:t>当期利润仍受一定影响</w:t>
            </w:r>
            <w:r>
              <w:rPr>
                <w:rStyle w:val="15"/>
                <w:rFonts w:hint="eastAsia" w:cs="宋体"/>
                <w:b w:val="0"/>
                <w:bCs w:val="0"/>
                <w:lang w:eastAsia="zh-CN"/>
              </w:rPr>
              <w:t>。</w:t>
            </w:r>
          </w:p>
          <w:p w14:paraId="163FB5ED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Style w:val="15"/>
                <w:rFonts w:hint="eastAsia" w:eastAsia="宋体" w:cs="宋体"/>
                <w:b/>
                <w:bCs/>
                <w:lang w:val="en-US" w:eastAsia="zh-CN"/>
              </w:rPr>
            </w:pP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2、公司前三季度毛利优化的举措</w:t>
            </w:r>
            <w:r>
              <w:rPr>
                <w:rStyle w:val="15"/>
                <w:rFonts w:cs="宋体"/>
                <w:b/>
                <w:bCs/>
              </w:rPr>
              <w:t>？公司未来在持续优化毛利上有哪些举措?</w:t>
            </w:r>
          </w:p>
          <w:p w14:paraId="4DAC6031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Style w:val="15"/>
                <w:rFonts w:hint="default" w:cs="宋体"/>
              </w:rPr>
            </w:pPr>
            <w:r>
              <w:rPr>
                <w:rStyle w:val="15"/>
                <w:rFonts w:hint="default" w:cs="宋体"/>
              </w:rPr>
              <w:t>答：</w:t>
            </w:r>
            <w:r>
              <w:rPr>
                <w:rStyle w:val="15"/>
                <w:rFonts w:hint="eastAsia" w:cs="宋体"/>
                <w:lang w:eastAsia="zh-CN"/>
              </w:rPr>
              <w:t>前三季度</w:t>
            </w:r>
            <w:r>
              <w:rPr>
                <w:rStyle w:val="15"/>
                <w:rFonts w:hint="default" w:cs="宋体"/>
              </w:rPr>
              <w:t>，公司综合毛利率同比提升约</w:t>
            </w:r>
            <w:r>
              <w:rPr>
                <w:rStyle w:val="15"/>
                <w:rFonts w:hint="eastAsia" w:cs="宋体"/>
                <w:lang w:eastAsia="zh-CN"/>
              </w:rPr>
              <w:t>2</w:t>
            </w:r>
            <w:r>
              <w:rPr>
                <w:rStyle w:val="15"/>
                <w:rFonts w:hint="default" w:cs="宋体"/>
              </w:rPr>
              <w:t>个百分点，达</w:t>
            </w:r>
            <w:r>
              <w:rPr>
                <w:rStyle w:val="15"/>
                <w:rFonts w:hint="eastAsia" w:cs="宋体"/>
                <w:lang w:eastAsia="zh-CN"/>
              </w:rPr>
              <w:t>3</w:t>
            </w:r>
            <w:r>
              <w:rPr>
                <w:rStyle w:val="15"/>
                <w:rFonts w:hint="eastAsia" w:cs="宋体"/>
                <w:lang w:val="en-US" w:eastAsia="zh-CN"/>
              </w:rPr>
              <w:t>4</w:t>
            </w:r>
            <w:r>
              <w:rPr>
                <w:rStyle w:val="15"/>
                <w:rFonts w:hint="default" w:cs="宋体"/>
              </w:rPr>
              <w:t>%。报告期内，因公司新产品逐步释放产能并顺利实现成果转化并推向市场，凭借新产品更优的盈利结构，推动公司主营业务毛利同比提升，展现出产品结构优化的积极成效。公司将紧密围绕市场需求，充分发挥自身技术优势，通过积极地开发和新建全产业链项目、深化气源合作等方式向上延伸产业链、持续海外设点、优化业务模式、升级生产线、开展技术改造等方式，提升产能以及高附加值产品的自主可控能力，来实现毛利优化，进一步提升公司盈利能力和市场竞争力。</w:t>
            </w:r>
          </w:p>
          <w:p w14:paraId="5B4513FC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Style w:val="15"/>
                <w:rFonts w:hint="default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公司氦气产品的竞争优势？</w:t>
            </w:r>
          </w:p>
          <w:p w14:paraId="1DE4C955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default" w:cs="宋体"/>
              </w:rPr>
              <w:t>答:公司深耕氦气产品多年</w:t>
            </w:r>
            <w:r>
              <w:rPr>
                <w:rStyle w:val="15"/>
                <w:rFonts w:hint="eastAsia" w:cs="宋体"/>
                <w:lang w:eastAsia="zh-CN"/>
              </w:rPr>
              <w:t>，</w:t>
            </w:r>
            <w:r>
              <w:rPr>
                <w:rStyle w:val="15"/>
                <w:rFonts w:cs="宋体"/>
              </w:rPr>
              <w:t>与上游国际供应商达成长期合作，供应链完整</w:t>
            </w:r>
            <w:r>
              <w:rPr>
                <w:rStyle w:val="15"/>
                <w:rFonts w:cs="宋体"/>
                <w:lang w:eastAsia="zh-CN"/>
              </w:rPr>
              <w:t>，</w:t>
            </w:r>
            <w:r>
              <w:rPr>
                <w:rStyle w:val="15"/>
                <w:rFonts w:hint="eastAsia" w:cs="宋体"/>
                <w:lang w:val="en-US" w:eastAsia="zh-CN"/>
              </w:rPr>
              <w:t>在产品盈利能力方面</w:t>
            </w:r>
            <w:r>
              <w:rPr>
                <w:rStyle w:val="15"/>
                <w:rFonts w:cs="宋体"/>
              </w:rPr>
              <w:t>具</w:t>
            </w:r>
            <w:r>
              <w:rPr>
                <w:rStyle w:val="15"/>
                <w:rFonts w:hint="eastAsia" w:cs="宋体"/>
                <w:lang w:val="en-US" w:eastAsia="zh-CN"/>
              </w:rPr>
              <w:t>有</w:t>
            </w:r>
            <w:r>
              <w:rPr>
                <w:rStyle w:val="15"/>
                <w:rFonts w:cs="宋体"/>
              </w:rPr>
              <w:t>竞争力</w:t>
            </w:r>
            <w:r>
              <w:rPr>
                <w:rStyle w:val="15"/>
                <w:rFonts w:cs="宋体"/>
                <w:lang w:eastAsia="zh-CN"/>
              </w:rPr>
              <w:t>。</w:t>
            </w:r>
            <w:bookmarkStart w:id="1" w:name="_GoBack"/>
            <w:bookmarkEnd w:id="1"/>
          </w:p>
          <w:p w14:paraId="5BB1830B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Style w:val="15"/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公司前三季度海外业务占比？海外直销业务进展情况？</w:t>
            </w:r>
          </w:p>
          <w:p w14:paraId="19F18E3D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default" w:cs="宋体"/>
              </w:rPr>
              <w:t>答：</w:t>
            </w:r>
            <w:r>
              <w:rPr>
                <w:rStyle w:val="15"/>
                <w:rFonts w:hint="eastAsia" w:cs="宋体"/>
                <w:lang w:val="en-US" w:eastAsia="zh-CN"/>
              </w:rPr>
              <w:t>前三季度，公司海外业务收入约占主营业务收入的20%左右；</w:t>
            </w:r>
            <w:r>
              <w:rPr>
                <w:rStyle w:val="15"/>
                <w:rFonts w:cs="宋体"/>
              </w:rPr>
              <w:t>公司部分产品</w:t>
            </w:r>
            <w:r>
              <w:rPr>
                <w:rStyle w:val="15"/>
                <w:rFonts w:hint="eastAsia" w:cs="宋体"/>
                <w:lang w:val="en-US" w:eastAsia="zh-CN"/>
              </w:rPr>
              <w:t>已</w:t>
            </w:r>
            <w:r>
              <w:rPr>
                <w:rStyle w:val="15"/>
                <w:rFonts w:cs="宋体"/>
              </w:rPr>
              <w:t>通过</w:t>
            </w:r>
            <w:r>
              <w:rPr>
                <w:rStyle w:val="15"/>
                <w:rFonts w:hint="eastAsia" w:cs="宋体"/>
                <w:lang w:eastAsia="zh-CN"/>
              </w:rPr>
              <w:t>东南亚</w:t>
            </w:r>
            <w:r>
              <w:rPr>
                <w:rStyle w:val="15"/>
                <w:rFonts w:hint="eastAsia" w:cs="宋体"/>
                <w:lang w:val="en-US" w:eastAsia="zh-CN"/>
              </w:rPr>
              <w:t>地区多家</w:t>
            </w:r>
            <w:r>
              <w:rPr>
                <w:rStyle w:val="15"/>
                <w:rFonts w:cs="宋体"/>
              </w:rPr>
              <w:t>半导体厂的认证并实现订单，实现海外直销突破</w:t>
            </w:r>
            <w:r>
              <w:rPr>
                <w:rStyle w:val="15"/>
                <w:rFonts w:cs="宋体"/>
                <w:lang w:eastAsia="zh-CN"/>
              </w:rPr>
              <w:t>，</w:t>
            </w:r>
            <w:r>
              <w:rPr>
                <w:rStyle w:val="15"/>
                <w:rFonts w:hint="eastAsia" w:cs="宋体"/>
                <w:lang w:val="en-US" w:eastAsia="zh-CN"/>
              </w:rPr>
              <w:t>直销品类稳步提升</w:t>
            </w:r>
            <w:r>
              <w:rPr>
                <w:rStyle w:val="15"/>
                <w:rFonts w:cs="宋体"/>
                <w:lang w:eastAsia="zh-CN"/>
              </w:rPr>
              <w:t>。</w:t>
            </w:r>
            <w:r>
              <w:rPr>
                <w:rStyle w:val="15"/>
                <w:rFonts w:hint="eastAsia" w:cs="宋体"/>
                <w:lang w:val="en-US" w:eastAsia="zh-CN"/>
              </w:rPr>
              <w:t>目前，公司仍积极争取与多家境外半导体厂的直销合作。</w:t>
            </w:r>
          </w:p>
          <w:p w14:paraId="3FD18402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公司前三季度特气、普气和设备的占比分别是多少？特气毛利同比提升多少？</w:t>
            </w:r>
          </w:p>
          <w:p w14:paraId="1F187C10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前三季度，公司特种气体、</w:t>
            </w:r>
            <w:r>
              <w:rPr>
                <w:rFonts w:hint="eastAsia" w:ascii="宋体" w:hAnsi="宋体" w:cs="宋体"/>
                <w:sz w:val="24"/>
              </w:rPr>
              <w:t>普通工业气体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</w:rPr>
              <w:t>设备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工程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业务收入分别约占主营业务收入的65.39%、22.70%和11.90%。其中，特种气体毛利同比提升约2%，约为39%。</w:t>
            </w:r>
          </w:p>
          <w:p w14:paraId="7B427883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6、公司南通重大建设项目的进展情况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?</w:t>
            </w:r>
          </w:p>
          <w:p w14:paraId="4BFFAF0C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答：</w:t>
            </w:r>
            <w:r>
              <w:rPr>
                <w:rFonts w:hint="eastAsia" w:ascii="宋体" w:hAnsi="宋体" w:cs="宋体"/>
                <w:b w:val="0"/>
                <w:sz w:val="24"/>
                <w:lang w:val="en-US" w:eastAsia="zh-CN"/>
              </w:rPr>
              <w:t>该</w:t>
            </w:r>
            <w:r>
              <w:rPr>
                <w:rFonts w:hint="eastAsia" w:ascii="宋体" w:hAnsi="宋体" w:cs="宋体"/>
                <w:sz w:val="24"/>
              </w:rPr>
              <w:t>项目已取得一期土地，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已取得安环能评相关批复，目前</w:t>
            </w:r>
            <w:r>
              <w:rPr>
                <w:rFonts w:hint="eastAsia" w:ascii="宋体" w:hAnsi="宋体" w:cs="宋体"/>
                <w:sz w:val="24"/>
              </w:rPr>
              <w:t>正在规划建设。</w:t>
            </w:r>
          </w:p>
          <w:p w14:paraId="300DD946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公司新产品规划的战略是什么</w:t>
            </w:r>
          </w:p>
          <w:p w14:paraId="7CF9C2C0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答：一方面聚焦成熟制程应用产品的多品类开发，丰富更多品类数量；另一方面聚焦先进制程应用产品的持续研发，两方面相结合继续保持公司产品的竞争优势，与同行差异化竞争。</w:t>
            </w:r>
          </w:p>
          <w:p w14:paraId="0C2C95C7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公司新产品的销售进展情况？</w:t>
            </w:r>
          </w:p>
          <w:p w14:paraId="33D6634E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答：2025年，公司加速推进乙硅烷、溴化氢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三氯化硼等高端电子特气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sz w:val="24"/>
              </w:rPr>
              <w:t>产品的成果转化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目前，公司新产品</w:t>
            </w:r>
            <w:r>
              <w:rPr>
                <w:rFonts w:hint="eastAsia" w:ascii="宋体" w:hAnsi="宋体" w:cs="宋体"/>
                <w:sz w:val="24"/>
              </w:rPr>
              <w:t>乙硅烷、溴化氢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三氯化硼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均已经产生销售订单，实现成果转化。</w:t>
            </w:r>
          </w:p>
        </w:tc>
      </w:tr>
      <w:tr w14:paraId="24BA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7EB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ACA2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A1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6E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48C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ACBD244">
      <w:pPr>
        <w:pStyle w:val="12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NTE5NTlkM2UxNDFiOGQzMzM2YzY1NmUxYWM2ZTQifQ=="/>
  </w:docVars>
  <w:rsids>
    <w:rsidRoot w:val="00151070"/>
    <w:rsid w:val="00013C1C"/>
    <w:rsid w:val="000251B3"/>
    <w:rsid w:val="00030972"/>
    <w:rsid w:val="00030B13"/>
    <w:rsid w:val="0004438E"/>
    <w:rsid w:val="000837D6"/>
    <w:rsid w:val="000F07A0"/>
    <w:rsid w:val="001076B0"/>
    <w:rsid w:val="00110963"/>
    <w:rsid w:val="00127A13"/>
    <w:rsid w:val="00134FDB"/>
    <w:rsid w:val="00151070"/>
    <w:rsid w:val="00152D54"/>
    <w:rsid w:val="00175022"/>
    <w:rsid w:val="001B4C92"/>
    <w:rsid w:val="001C153A"/>
    <w:rsid w:val="001C15B2"/>
    <w:rsid w:val="001D5C74"/>
    <w:rsid w:val="001D765A"/>
    <w:rsid w:val="001E4A9C"/>
    <w:rsid w:val="0023119E"/>
    <w:rsid w:val="00240F97"/>
    <w:rsid w:val="0026080B"/>
    <w:rsid w:val="002773CA"/>
    <w:rsid w:val="002922B3"/>
    <w:rsid w:val="00296719"/>
    <w:rsid w:val="002A227A"/>
    <w:rsid w:val="00301B61"/>
    <w:rsid w:val="00302151"/>
    <w:rsid w:val="00320706"/>
    <w:rsid w:val="003243F6"/>
    <w:rsid w:val="00344428"/>
    <w:rsid w:val="00347A98"/>
    <w:rsid w:val="00405DA7"/>
    <w:rsid w:val="00410A20"/>
    <w:rsid w:val="00446B11"/>
    <w:rsid w:val="00456ADB"/>
    <w:rsid w:val="00471B94"/>
    <w:rsid w:val="004A3688"/>
    <w:rsid w:val="004A722C"/>
    <w:rsid w:val="004C122B"/>
    <w:rsid w:val="00512AF6"/>
    <w:rsid w:val="005368F3"/>
    <w:rsid w:val="00546A38"/>
    <w:rsid w:val="005C3304"/>
    <w:rsid w:val="005C6ACE"/>
    <w:rsid w:val="00626D1C"/>
    <w:rsid w:val="00656E16"/>
    <w:rsid w:val="006A4CFC"/>
    <w:rsid w:val="00740DC3"/>
    <w:rsid w:val="00757AE5"/>
    <w:rsid w:val="00765606"/>
    <w:rsid w:val="00767E4F"/>
    <w:rsid w:val="007B7396"/>
    <w:rsid w:val="007C05D4"/>
    <w:rsid w:val="007D2416"/>
    <w:rsid w:val="007F1A3C"/>
    <w:rsid w:val="007F32BE"/>
    <w:rsid w:val="00801B53"/>
    <w:rsid w:val="00805339"/>
    <w:rsid w:val="008056ED"/>
    <w:rsid w:val="00807C0F"/>
    <w:rsid w:val="008257AD"/>
    <w:rsid w:val="00871913"/>
    <w:rsid w:val="00887CF7"/>
    <w:rsid w:val="008F7A8D"/>
    <w:rsid w:val="00906464"/>
    <w:rsid w:val="00922EA0"/>
    <w:rsid w:val="00936BAC"/>
    <w:rsid w:val="009405E0"/>
    <w:rsid w:val="009455E6"/>
    <w:rsid w:val="009460EB"/>
    <w:rsid w:val="00961BD1"/>
    <w:rsid w:val="009900EE"/>
    <w:rsid w:val="0099255C"/>
    <w:rsid w:val="009956AA"/>
    <w:rsid w:val="009B5D0F"/>
    <w:rsid w:val="009D128A"/>
    <w:rsid w:val="009F43CD"/>
    <w:rsid w:val="00A00155"/>
    <w:rsid w:val="00A801EA"/>
    <w:rsid w:val="00AA1C93"/>
    <w:rsid w:val="00AC5D8B"/>
    <w:rsid w:val="00B25B45"/>
    <w:rsid w:val="00B73268"/>
    <w:rsid w:val="00B747F9"/>
    <w:rsid w:val="00BA10DB"/>
    <w:rsid w:val="00BD0C38"/>
    <w:rsid w:val="00C03C74"/>
    <w:rsid w:val="00C05152"/>
    <w:rsid w:val="00C21D92"/>
    <w:rsid w:val="00C2715C"/>
    <w:rsid w:val="00C953B0"/>
    <w:rsid w:val="00C9750D"/>
    <w:rsid w:val="00CA2F15"/>
    <w:rsid w:val="00CB32A0"/>
    <w:rsid w:val="00CB56E7"/>
    <w:rsid w:val="00CB7BFE"/>
    <w:rsid w:val="00CC0922"/>
    <w:rsid w:val="00CC627E"/>
    <w:rsid w:val="00CE29E9"/>
    <w:rsid w:val="00CE763B"/>
    <w:rsid w:val="00D11C06"/>
    <w:rsid w:val="00D23F00"/>
    <w:rsid w:val="00D3390A"/>
    <w:rsid w:val="00D617B2"/>
    <w:rsid w:val="00D750A0"/>
    <w:rsid w:val="00DB210E"/>
    <w:rsid w:val="00DC19E3"/>
    <w:rsid w:val="00DE308E"/>
    <w:rsid w:val="00DE53C5"/>
    <w:rsid w:val="00DF1E57"/>
    <w:rsid w:val="00E01875"/>
    <w:rsid w:val="00E07CB2"/>
    <w:rsid w:val="00E36FC6"/>
    <w:rsid w:val="00E945A9"/>
    <w:rsid w:val="00E96665"/>
    <w:rsid w:val="00EA0866"/>
    <w:rsid w:val="00EE394E"/>
    <w:rsid w:val="00F070C9"/>
    <w:rsid w:val="00F21DD6"/>
    <w:rsid w:val="00F25FF8"/>
    <w:rsid w:val="00F35881"/>
    <w:rsid w:val="00F40715"/>
    <w:rsid w:val="00FD1A42"/>
    <w:rsid w:val="00FF37B7"/>
    <w:rsid w:val="00FF554C"/>
    <w:rsid w:val="0176498D"/>
    <w:rsid w:val="03830824"/>
    <w:rsid w:val="04642FCC"/>
    <w:rsid w:val="05AB5612"/>
    <w:rsid w:val="068A7850"/>
    <w:rsid w:val="06E34785"/>
    <w:rsid w:val="07124B21"/>
    <w:rsid w:val="0978738B"/>
    <w:rsid w:val="0A1C4833"/>
    <w:rsid w:val="0A9450C5"/>
    <w:rsid w:val="0BEF44DC"/>
    <w:rsid w:val="0F6063AF"/>
    <w:rsid w:val="12CF1AF1"/>
    <w:rsid w:val="13E62E35"/>
    <w:rsid w:val="16DE4297"/>
    <w:rsid w:val="17AA7F3F"/>
    <w:rsid w:val="18AF4B42"/>
    <w:rsid w:val="1A8A00A4"/>
    <w:rsid w:val="1A9747CA"/>
    <w:rsid w:val="1B684130"/>
    <w:rsid w:val="1ED46F31"/>
    <w:rsid w:val="1FF10406"/>
    <w:rsid w:val="21656CBF"/>
    <w:rsid w:val="22596EC8"/>
    <w:rsid w:val="22A705B3"/>
    <w:rsid w:val="22CB0CC1"/>
    <w:rsid w:val="233F1CB9"/>
    <w:rsid w:val="26552E07"/>
    <w:rsid w:val="272F45CF"/>
    <w:rsid w:val="27870A7F"/>
    <w:rsid w:val="290C07F0"/>
    <w:rsid w:val="29A13AA2"/>
    <w:rsid w:val="29A749BD"/>
    <w:rsid w:val="29E72767"/>
    <w:rsid w:val="2A027055"/>
    <w:rsid w:val="2A7D796C"/>
    <w:rsid w:val="2C774586"/>
    <w:rsid w:val="2CCE2428"/>
    <w:rsid w:val="2D7B0696"/>
    <w:rsid w:val="2DD350BF"/>
    <w:rsid w:val="2E4B1C88"/>
    <w:rsid w:val="2E534FDF"/>
    <w:rsid w:val="2F135D47"/>
    <w:rsid w:val="2F692A40"/>
    <w:rsid w:val="30647164"/>
    <w:rsid w:val="31485D7C"/>
    <w:rsid w:val="33533805"/>
    <w:rsid w:val="34F14902"/>
    <w:rsid w:val="35314522"/>
    <w:rsid w:val="35633E8E"/>
    <w:rsid w:val="35BA3ED4"/>
    <w:rsid w:val="36CF5FE5"/>
    <w:rsid w:val="378E6966"/>
    <w:rsid w:val="392D6A85"/>
    <w:rsid w:val="3A30455A"/>
    <w:rsid w:val="3AB45B25"/>
    <w:rsid w:val="3AE65635"/>
    <w:rsid w:val="3BB32D4D"/>
    <w:rsid w:val="3BBC42F8"/>
    <w:rsid w:val="3BC91A52"/>
    <w:rsid w:val="3C406CD7"/>
    <w:rsid w:val="3DBC57C1"/>
    <w:rsid w:val="3DBF00CF"/>
    <w:rsid w:val="400950B6"/>
    <w:rsid w:val="42841859"/>
    <w:rsid w:val="42C31F79"/>
    <w:rsid w:val="43F17569"/>
    <w:rsid w:val="459504F8"/>
    <w:rsid w:val="4670640B"/>
    <w:rsid w:val="47BC5006"/>
    <w:rsid w:val="492E435B"/>
    <w:rsid w:val="496E1128"/>
    <w:rsid w:val="4ABA40F8"/>
    <w:rsid w:val="4BE11524"/>
    <w:rsid w:val="4DCF25EE"/>
    <w:rsid w:val="51783058"/>
    <w:rsid w:val="544A79F2"/>
    <w:rsid w:val="55561660"/>
    <w:rsid w:val="56744A56"/>
    <w:rsid w:val="58AE3F93"/>
    <w:rsid w:val="59254461"/>
    <w:rsid w:val="59623365"/>
    <w:rsid w:val="5A5D4BF5"/>
    <w:rsid w:val="5B815B04"/>
    <w:rsid w:val="5BAC1F2F"/>
    <w:rsid w:val="5CD841D5"/>
    <w:rsid w:val="5DAF55F4"/>
    <w:rsid w:val="5DF14D16"/>
    <w:rsid w:val="5E693CF6"/>
    <w:rsid w:val="5FE23C7A"/>
    <w:rsid w:val="60962888"/>
    <w:rsid w:val="61551B40"/>
    <w:rsid w:val="635C5477"/>
    <w:rsid w:val="66C965AD"/>
    <w:rsid w:val="68211D11"/>
    <w:rsid w:val="6832131A"/>
    <w:rsid w:val="68716FA7"/>
    <w:rsid w:val="68B63CF9"/>
    <w:rsid w:val="6AE242EB"/>
    <w:rsid w:val="6C84579A"/>
    <w:rsid w:val="6DAF51BB"/>
    <w:rsid w:val="6F895E65"/>
    <w:rsid w:val="6FB146A2"/>
    <w:rsid w:val="724B1615"/>
    <w:rsid w:val="7612152C"/>
    <w:rsid w:val="76911912"/>
    <w:rsid w:val="7730111A"/>
    <w:rsid w:val="77B43AFA"/>
    <w:rsid w:val="79A43650"/>
    <w:rsid w:val="79BC7051"/>
    <w:rsid w:val="7A0C7600"/>
    <w:rsid w:val="7A823D04"/>
    <w:rsid w:val="7C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style01"/>
    <w:basedOn w:val="8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6">
    <w:name w:val="fontstyle2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7">
    <w:name w:val="内页正文"/>
    <w:link w:val="18"/>
    <w:autoRedefine/>
    <w:qFormat/>
    <w:uiPriority w:val="0"/>
    <w:pPr>
      <w:spacing w:after="120"/>
      <w:jc w:val="both"/>
    </w:pPr>
    <w:rPr>
      <w:rFonts w:ascii="Arial" w:hAnsi="Arial" w:eastAsia="华文细黑" w:cs="Arial"/>
      <w:kern w:val="2"/>
      <w:sz w:val="18"/>
      <w:szCs w:val="19"/>
      <w:lang w:val="en-US" w:eastAsia="zh-CN" w:bidi="ar-SA"/>
    </w:rPr>
  </w:style>
  <w:style w:type="character" w:customStyle="1" w:styleId="18">
    <w:name w:val="内页正文 Char"/>
    <w:link w:val="17"/>
    <w:autoRedefine/>
    <w:qFormat/>
    <w:uiPriority w:val="0"/>
    <w:rPr>
      <w:rFonts w:ascii="Arial" w:hAnsi="Arial" w:eastAsia="华文细黑" w:cs="Arial"/>
      <w:kern w:val="2"/>
      <w:sz w:val="18"/>
      <w:szCs w:val="19"/>
    </w:rPr>
  </w:style>
  <w:style w:type="paragraph" w:customStyle="1" w:styleId="19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101C-C541-4A38-8C58-D3E24BEC4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win10com.com</Company>
  <Pages>6</Pages>
  <Words>3089</Words>
  <Characters>3275</Characters>
  <Lines>26</Lines>
  <Paragraphs>7</Paragraphs>
  <TotalTime>26</TotalTime>
  <ScaleCrop>false</ScaleCrop>
  <LinksUpToDate>false</LinksUpToDate>
  <CharactersWithSpaces>3329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2023-09-06T09:14:00Z</dcterms:created>
  <dc:creator>skd004</dc:creator>
  <cp:lastModifiedBy>WPS_1683033738</cp:lastModifiedBy>
  <cp:lastPrinted>2024-11-01T02:21:00Z</cp:lastPrinted>
  <dcterms:modified xsi:type="dcterms:W3CDTF">2025-11-04T08:27:47Z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5749B72B5190493CB0C7C7CAFA1E1FB8_13</vt:lpwstr>
  </property>
</Properties>
</file>