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4FAC" w14:textId="5AB1DA55" w:rsidR="001651C7" w:rsidRPr="00E65125" w:rsidRDefault="001651C7" w:rsidP="001651C7">
      <w:pPr>
        <w:adjustRightInd w:val="0"/>
        <w:snapToGrid w:val="0"/>
        <w:spacing w:line="600" w:lineRule="exact"/>
        <w:rPr>
          <w:sz w:val="24"/>
          <w:szCs w:val="24"/>
        </w:rPr>
      </w:pPr>
      <w:r w:rsidRPr="00E65125">
        <w:rPr>
          <w:sz w:val="24"/>
          <w:szCs w:val="24"/>
        </w:rPr>
        <w:t>证券代码：</w:t>
      </w:r>
      <w:r w:rsidRPr="00E65125">
        <w:rPr>
          <w:sz w:val="24"/>
          <w:szCs w:val="24"/>
        </w:rPr>
        <w:t xml:space="preserve">688681          </w:t>
      </w:r>
      <w:r w:rsidRPr="00E65125">
        <w:rPr>
          <w:sz w:val="24"/>
          <w:szCs w:val="24"/>
        </w:rPr>
        <w:t>证券简称：科汇股份</w:t>
      </w:r>
      <w:r w:rsidRPr="00E65125">
        <w:rPr>
          <w:sz w:val="24"/>
          <w:szCs w:val="24"/>
        </w:rPr>
        <w:t xml:space="preserve">          </w:t>
      </w:r>
      <w:r w:rsidR="004B64F9">
        <w:rPr>
          <w:rFonts w:hint="eastAsia"/>
          <w:sz w:val="24"/>
          <w:szCs w:val="24"/>
        </w:rPr>
        <w:t xml:space="preserve"> </w:t>
      </w:r>
      <w:r w:rsidR="004B64F9">
        <w:rPr>
          <w:sz w:val="24"/>
          <w:szCs w:val="24"/>
        </w:rPr>
        <w:t xml:space="preserve"> </w:t>
      </w:r>
      <w:r w:rsidRPr="00E65125">
        <w:rPr>
          <w:sz w:val="24"/>
          <w:szCs w:val="24"/>
        </w:rPr>
        <w:t>编号：</w:t>
      </w:r>
      <w:r w:rsidRPr="00E65125">
        <w:rPr>
          <w:sz w:val="24"/>
          <w:szCs w:val="24"/>
        </w:rPr>
        <w:t>202</w:t>
      </w:r>
      <w:r w:rsidR="00C31577">
        <w:rPr>
          <w:rFonts w:hint="eastAsia"/>
          <w:sz w:val="24"/>
          <w:szCs w:val="24"/>
        </w:rPr>
        <w:t>5</w:t>
      </w:r>
      <w:r w:rsidR="002F4CB9">
        <w:rPr>
          <w:sz w:val="24"/>
          <w:szCs w:val="24"/>
        </w:rPr>
        <w:t>-00</w:t>
      </w:r>
      <w:r w:rsidR="00D753F2">
        <w:rPr>
          <w:rFonts w:hint="eastAsia"/>
          <w:sz w:val="24"/>
          <w:szCs w:val="24"/>
        </w:rPr>
        <w:t>5</w:t>
      </w:r>
    </w:p>
    <w:p w14:paraId="35B837AD" w14:textId="77777777" w:rsidR="001651C7" w:rsidRPr="00E65125" w:rsidRDefault="001651C7" w:rsidP="001651C7">
      <w:pPr>
        <w:adjustRightInd w:val="0"/>
        <w:snapToGrid w:val="0"/>
        <w:spacing w:line="600" w:lineRule="exact"/>
        <w:rPr>
          <w:sz w:val="24"/>
          <w:szCs w:val="24"/>
        </w:rPr>
      </w:pPr>
    </w:p>
    <w:p w14:paraId="773CB88B" w14:textId="77777777" w:rsidR="001651C7" w:rsidRP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bCs/>
          <w:sz w:val="32"/>
          <w:szCs w:val="32"/>
        </w:rPr>
        <w:t>山东科汇电力自动化股份有限公司</w:t>
      </w:r>
    </w:p>
    <w:p w14:paraId="6F809E62" w14:textId="77777777" w:rsid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hint="eastAsia"/>
          <w:bCs/>
          <w:sz w:val="32"/>
          <w:szCs w:val="32"/>
        </w:rPr>
        <w:t>投资者关系活动记录表</w:t>
      </w:r>
    </w:p>
    <w:p w14:paraId="34491967" w14:textId="77777777" w:rsidR="001651C7" w:rsidRPr="001651C7" w:rsidRDefault="001651C7" w:rsidP="001651C7">
      <w:pPr>
        <w:autoSpaceDE w:val="0"/>
        <w:autoSpaceDN w:val="0"/>
        <w:adjustRightInd w:val="0"/>
        <w:snapToGrid w:val="0"/>
        <w:spacing w:line="600" w:lineRule="exact"/>
        <w:jc w:val="center"/>
        <w:rPr>
          <w:rFonts w:ascii="黑体" w:eastAsiaTheme="minorEastAsia" w:hAnsi="黑体" w:hint="eastAsia"/>
          <w:bCs/>
          <w:sz w:val="32"/>
          <w:szCs w:val="32"/>
        </w:rPr>
      </w:pPr>
    </w:p>
    <w:tbl>
      <w:tblPr>
        <w:tblStyle w:val="a3"/>
        <w:tblW w:w="8500" w:type="dxa"/>
        <w:jc w:val="center"/>
        <w:tblLook w:val="04A0" w:firstRow="1" w:lastRow="0" w:firstColumn="1" w:lastColumn="0" w:noHBand="0" w:noVBand="1"/>
      </w:tblPr>
      <w:tblGrid>
        <w:gridCol w:w="1281"/>
        <w:gridCol w:w="2765"/>
        <w:gridCol w:w="4454"/>
      </w:tblGrid>
      <w:tr w:rsidR="00605AFC" w14:paraId="763B9D04" w14:textId="77777777" w:rsidTr="00627FAA">
        <w:trPr>
          <w:trHeight w:val="1662"/>
          <w:jc w:val="center"/>
        </w:trPr>
        <w:tc>
          <w:tcPr>
            <w:tcW w:w="1281" w:type="dxa"/>
            <w:vAlign w:val="center"/>
          </w:tcPr>
          <w:p w14:paraId="73604B5F" w14:textId="77777777" w:rsidR="00605AFC" w:rsidRPr="00605AFC" w:rsidRDefault="00605AFC"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投资者关系活动类别</w:t>
            </w:r>
          </w:p>
        </w:tc>
        <w:tc>
          <w:tcPr>
            <w:tcW w:w="2765" w:type="dxa"/>
            <w:tcBorders>
              <w:right w:val="nil"/>
            </w:tcBorders>
          </w:tcPr>
          <w:p w14:paraId="50387C3D" w14:textId="6AA94577"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BCDE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9.35pt" o:ole="">
                  <v:imagedata r:id="rId6" o:title=""/>
                </v:shape>
                <w:control r:id="rId7" w:name="CheckBox1" w:shapeid="_x0000_i1041"/>
              </w:object>
            </w:r>
          </w:p>
          <w:p w14:paraId="22030C66" w14:textId="10F3B839"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549938DC">
                <v:shape id="_x0000_i1043" type="#_x0000_t75" style="width:108pt;height:19.35pt" o:ole="">
                  <v:imagedata r:id="rId8" o:title=""/>
                </v:shape>
                <w:control r:id="rId9" w:name="CheckBox2" w:shapeid="_x0000_i1043"/>
              </w:object>
            </w:r>
          </w:p>
          <w:p w14:paraId="69FF6F88" w14:textId="53443C0B"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5273F58">
                <v:shape id="_x0000_i1045" type="#_x0000_t75" style="width:108pt;height:19.35pt" o:ole="">
                  <v:imagedata r:id="rId10" o:title=""/>
                </v:shape>
                <w:control r:id="rId11" w:name="CheckBox3" w:shapeid="_x0000_i1045"/>
              </w:object>
            </w:r>
          </w:p>
          <w:p w14:paraId="0766A361" w14:textId="5F394626" w:rsidR="00605AFC" w:rsidRP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DB5CA45">
                <v:shape id="_x0000_i1047" type="#_x0000_t75" style="width:108pt;height:19.35pt" o:ole="">
                  <v:imagedata r:id="rId12" o:title=""/>
                </v:shape>
                <w:control r:id="rId13" w:name="CheckBox4" w:shapeid="_x0000_i1047"/>
              </w:object>
            </w:r>
          </w:p>
        </w:tc>
        <w:tc>
          <w:tcPr>
            <w:tcW w:w="4454" w:type="dxa"/>
            <w:tcBorders>
              <w:left w:val="nil"/>
            </w:tcBorders>
          </w:tcPr>
          <w:p w14:paraId="07967418" w14:textId="4396CE6D"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21D6E7D">
                <v:shape id="_x0000_i1049" type="#_x0000_t75" style="width:108pt;height:19.35pt" o:ole="">
                  <v:imagedata r:id="rId14" o:title=""/>
                </v:shape>
                <w:control r:id="rId15" w:name="CheckBox51" w:shapeid="_x0000_i1049"/>
              </w:object>
            </w:r>
          </w:p>
          <w:p w14:paraId="31F06482" w14:textId="26AB08F5"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E249ECF">
                <v:shape id="_x0000_i1051" type="#_x0000_t75" style="width:108pt;height:19.35pt" o:ole="">
                  <v:imagedata r:id="rId16" o:title=""/>
                </v:shape>
                <w:control r:id="rId17" w:name="CheckBox61" w:shapeid="_x0000_i1051"/>
              </w:object>
            </w:r>
          </w:p>
          <w:p w14:paraId="6E4C9402" w14:textId="521B5540"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7DED262A">
                <v:shape id="_x0000_i1053" type="#_x0000_t75" style="width:108pt;height:19.35pt" o:ole="">
                  <v:imagedata r:id="rId18" o:title=""/>
                </v:shape>
                <w:control r:id="rId19" w:name="CheckBox71" w:shapeid="_x0000_i1053"/>
              </w:object>
            </w:r>
          </w:p>
          <w:p w14:paraId="0AD70731" w14:textId="63820363" w:rsidR="00605AFC" w:rsidRPr="001651C7"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0DDE1797">
                <v:shape id="_x0000_i1055" type="#_x0000_t75" style="width:131.1pt;height:19.35pt" o:ole="">
                  <v:imagedata r:id="rId20" o:title=""/>
                </v:shape>
                <w:control r:id="rId21" w:name="CheckBox81" w:shapeid="_x0000_i1055"/>
              </w:object>
            </w:r>
          </w:p>
        </w:tc>
      </w:tr>
      <w:tr w:rsidR="00F41D97" w14:paraId="10CFD038" w14:textId="77777777" w:rsidTr="001D592B">
        <w:trPr>
          <w:trHeight w:val="1662"/>
          <w:jc w:val="center"/>
        </w:trPr>
        <w:tc>
          <w:tcPr>
            <w:tcW w:w="1281" w:type="dxa"/>
            <w:vAlign w:val="center"/>
          </w:tcPr>
          <w:p w14:paraId="3D436D06" w14:textId="3ED80403"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参与单位名称及人员姓名</w:t>
            </w:r>
          </w:p>
        </w:tc>
        <w:tc>
          <w:tcPr>
            <w:tcW w:w="7219" w:type="dxa"/>
            <w:gridSpan w:val="2"/>
            <w:vAlign w:val="center"/>
          </w:tcPr>
          <w:p w14:paraId="2C6098BA" w14:textId="1710C752" w:rsidR="00F41D97" w:rsidRPr="00F41D97" w:rsidRDefault="00F41D97" w:rsidP="00F41D97">
            <w:pPr>
              <w:autoSpaceDE w:val="0"/>
              <w:autoSpaceDN w:val="0"/>
              <w:adjustRightInd w:val="0"/>
              <w:snapToGrid w:val="0"/>
              <w:jc w:val="left"/>
              <w:rPr>
                <w:rFonts w:asciiTheme="minorEastAsia" w:hAnsiTheme="minorEastAsia" w:hint="eastAsia"/>
                <w:bCs/>
                <w:sz w:val="24"/>
              </w:rPr>
            </w:pPr>
            <w:r w:rsidRPr="00F41D97">
              <w:rPr>
                <w:rFonts w:asciiTheme="minorEastAsia" w:eastAsiaTheme="minorEastAsia" w:hAnsiTheme="minorEastAsia" w:hint="eastAsia"/>
                <w:bCs/>
                <w:sz w:val="24"/>
                <w:szCs w:val="24"/>
              </w:rPr>
              <w:t>线上参与公司2025年第</w:t>
            </w:r>
            <w:r>
              <w:rPr>
                <w:rFonts w:asciiTheme="minorEastAsia" w:eastAsiaTheme="minorEastAsia" w:hAnsiTheme="minorEastAsia" w:hint="eastAsia"/>
                <w:bCs/>
                <w:sz w:val="24"/>
                <w:szCs w:val="24"/>
              </w:rPr>
              <w:t>三</w:t>
            </w:r>
            <w:r w:rsidRPr="00F41D97">
              <w:rPr>
                <w:rFonts w:asciiTheme="minorEastAsia" w:eastAsiaTheme="minorEastAsia" w:hAnsiTheme="minorEastAsia" w:hint="eastAsia"/>
                <w:bCs/>
                <w:sz w:val="24"/>
                <w:szCs w:val="24"/>
              </w:rPr>
              <w:t>季度业绩说明会的投资者</w:t>
            </w:r>
          </w:p>
        </w:tc>
      </w:tr>
      <w:tr w:rsidR="00F41D97" w14:paraId="6FD045F1" w14:textId="77777777" w:rsidTr="00627FAA">
        <w:trPr>
          <w:trHeight w:val="387"/>
          <w:jc w:val="center"/>
        </w:trPr>
        <w:tc>
          <w:tcPr>
            <w:tcW w:w="1281" w:type="dxa"/>
            <w:vAlign w:val="center"/>
          </w:tcPr>
          <w:p w14:paraId="5CCED5B7" w14:textId="77777777"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时间</w:t>
            </w:r>
          </w:p>
        </w:tc>
        <w:tc>
          <w:tcPr>
            <w:tcW w:w="7219" w:type="dxa"/>
            <w:gridSpan w:val="2"/>
            <w:vAlign w:val="center"/>
          </w:tcPr>
          <w:p w14:paraId="05E9A7A0" w14:textId="5089DAC3" w:rsidR="00F41D97" w:rsidRPr="001651C7" w:rsidRDefault="00F41D97" w:rsidP="00F41D97">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Pr>
                <w:rFonts w:asciiTheme="minorEastAsia" w:eastAsiaTheme="minorEastAsia" w:hAnsiTheme="minorEastAsia" w:hint="eastAsia"/>
                <w:bCs/>
                <w:sz w:val="24"/>
                <w:szCs w:val="24"/>
              </w:rPr>
              <w:t>5年11月5日 09:00</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0</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p>
        </w:tc>
      </w:tr>
      <w:tr w:rsidR="00F41D97" w:rsidRPr="00627FAA" w14:paraId="542E23FD" w14:textId="77777777" w:rsidTr="00627FAA">
        <w:trPr>
          <w:jc w:val="center"/>
        </w:trPr>
        <w:tc>
          <w:tcPr>
            <w:tcW w:w="1281" w:type="dxa"/>
            <w:vAlign w:val="center"/>
          </w:tcPr>
          <w:p w14:paraId="24181DD2" w14:textId="77777777"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地点</w:t>
            </w:r>
          </w:p>
        </w:tc>
        <w:tc>
          <w:tcPr>
            <w:tcW w:w="7219" w:type="dxa"/>
            <w:gridSpan w:val="2"/>
            <w:vAlign w:val="center"/>
          </w:tcPr>
          <w:p w14:paraId="3A260C0F" w14:textId="6285EA09" w:rsidR="00F41D97"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价值在线</w:t>
            </w:r>
          </w:p>
          <w:p w14:paraId="4C3CD116" w14:textId="14D5ADCC" w:rsidR="00F41D97" w:rsidRPr="00627FAA"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sidRPr="00627FAA">
              <w:rPr>
                <w:rFonts w:asciiTheme="minorEastAsia" w:eastAsiaTheme="minorEastAsia" w:hAnsiTheme="minorEastAsia" w:hint="eastAsia"/>
                <w:bCs/>
                <w:sz w:val="24"/>
                <w:szCs w:val="24"/>
              </w:rPr>
              <w:t>（网址：</w:t>
            </w:r>
            <w:r>
              <w:rPr>
                <w:rFonts w:asciiTheme="minorEastAsia" w:eastAsiaTheme="minorEastAsia" w:hAnsiTheme="minorEastAsia" w:hint="eastAsia"/>
                <w:bCs/>
                <w:sz w:val="24"/>
                <w:szCs w:val="24"/>
              </w:rPr>
              <w:t>www.ir-online.cn</w:t>
            </w:r>
            <w:r w:rsidRPr="00627FAA">
              <w:rPr>
                <w:rFonts w:asciiTheme="minorEastAsia" w:eastAsiaTheme="minorEastAsia" w:hAnsiTheme="minorEastAsia" w:hint="eastAsia"/>
                <w:bCs/>
                <w:sz w:val="24"/>
                <w:szCs w:val="24"/>
              </w:rPr>
              <w:t>）</w:t>
            </w:r>
          </w:p>
        </w:tc>
      </w:tr>
      <w:tr w:rsidR="00F41D97" w:rsidRPr="00627FAA" w14:paraId="2A568211" w14:textId="77777777" w:rsidTr="00627FAA">
        <w:trPr>
          <w:jc w:val="center"/>
        </w:trPr>
        <w:tc>
          <w:tcPr>
            <w:tcW w:w="1281" w:type="dxa"/>
            <w:vAlign w:val="center"/>
          </w:tcPr>
          <w:p w14:paraId="202880E7" w14:textId="52A40BA4"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会议召开方式</w:t>
            </w:r>
          </w:p>
        </w:tc>
        <w:tc>
          <w:tcPr>
            <w:tcW w:w="7219" w:type="dxa"/>
            <w:gridSpan w:val="2"/>
            <w:vAlign w:val="center"/>
          </w:tcPr>
          <w:p w14:paraId="4CE5E387" w14:textId="41C6A4CA" w:rsidR="00F41D97" w:rsidRPr="00C82BB3"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2"/>
              </w:rPr>
            </w:pPr>
            <w:r w:rsidRPr="00C82BB3">
              <w:rPr>
                <w:sz w:val="24"/>
                <w:szCs w:val="22"/>
              </w:rPr>
              <w:t>网络互动</w:t>
            </w:r>
            <w:r>
              <w:rPr>
                <w:rFonts w:hint="eastAsia"/>
                <w:sz w:val="24"/>
                <w:szCs w:val="22"/>
              </w:rPr>
              <w:t>方式</w:t>
            </w:r>
          </w:p>
        </w:tc>
      </w:tr>
      <w:tr w:rsidR="00F41D97" w14:paraId="6E9CC031" w14:textId="77777777" w:rsidTr="00627FAA">
        <w:trPr>
          <w:jc w:val="center"/>
        </w:trPr>
        <w:tc>
          <w:tcPr>
            <w:tcW w:w="1281" w:type="dxa"/>
            <w:vAlign w:val="center"/>
          </w:tcPr>
          <w:p w14:paraId="100FA6A3" w14:textId="77777777" w:rsidR="00F41D97"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公司</w:t>
            </w:r>
            <w:r>
              <w:rPr>
                <w:rFonts w:asciiTheme="minorEastAsia" w:eastAsiaTheme="minorEastAsia" w:hAnsiTheme="minorEastAsia" w:hint="eastAsia"/>
                <w:b/>
                <w:bCs/>
                <w:sz w:val="24"/>
                <w:szCs w:val="24"/>
              </w:rPr>
              <w:t>参</w:t>
            </w:r>
          </w:p>
          <w:p w14:paraId="09278970" w14:textId="7628A35A"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加</w:t>
            </w:r>
            <w:r w:rsidRPr="00605AFC">
              <w:rPr>
                <w:rFonts w:asciiTheme="minorEastAsia" w:eastAsiaTheme="minorEastAsia" w:hAnsiTheme="minorEastAsia" w:hint="eastAsia"/>
                <w:b/>
                <w:bCs/>
                <w:sz w:val="24"/>
                <w:szCs w:val="24"/>
              </w:rPr>
              <w:t>人员</w:t>
            </w:r>
          </w:p>
        </w:tc>
        <w:tc>
          <w:tcPr>
            <w:tcW w:w="7219" w:type="dxa"/>
            <w:gridSpan w:val="2"/>
            <w:vAlign w:val="center"/>
          </w:tcPr>
          <w:p w14:paraId="43586680" w14:textId="3959229C" w:rsidR="00F41D97"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董事长：朱亦军</w:t>
            </w:r>
          </w:p>
          <w:p w14:paraId="3EDA54B1" w14:textId="4897A781" w:rsidR="00F41D97"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董事会秘书：秦晓雷</w:t>
            </w:r>
          </w:p>
          <w:p w14:paraId="6119AC0C" w14:textId="77777777" w:rsidR="00F41D97"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财务总监：吕宏亮</w:t>
            </w:r>
          </w:p>
          <w:p w14:paraId="4CD05013" w14:textId="0F8C075C" w:rsidR="00F41D97" w:rsidRPr="001651C7" w:rsidRDefault="00F41D97" w:rsidP="00F41D97">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独立董事：王传顺</w:t>
            </w:r>
          </w:p>
        </w:tc>
      </w:tr>
      <w:tr w:rsidR="00F41D97" w14:paraId="3C2B6204" w14:textId="77777777" w:rsidTr="00627FAA">
        <w:trPr>
          <w:jc w:val="center"/>
        </w:trPr>
        <w:tc>
          <w:tcPr>
            <w:tcW w:w="1281" w:type="dxa"/>
            <w:vAlign w:val="center"/>
          </w:tcPr>
          <w:p w14:paraId="0E860918" w14:textId="77777777"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投资者关系活动主要内容介绍</w:t>
            </w:r>
          </w:p>
        </w:tc>
        <w:tc>
          <w:tcPr>
            <w:tcW w:w="7219" w:type="dxa"/>
            <w:gridSpan w:val="2"/>
            <w:vAlign w:val="center"/>
          </w:tcPr>
          <w:p w14:paraId="234D8870" w14:textId="31AA2917" w:rsidR="00F41D97" w:rsidRPr="002301EB" w:rsidRDefault="00F41D97" w:rsidP="00F41D97">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w:t>
            </w:r>
            <w:r>
              <w:rPr>
                <w:rFonts w:hint="eastAsia"/>
              </w:rPr>
              <w:t xml:space="preserve"> </w:t>
            </w:r>
            <w:r w:rsidRPr="00D753F2">
              <w:rPr>
                <w:rFonts w:asciiTheme="minorEastAsia" w:eastAsiaTheme="minorEastAsia" w:hAnsiTheme="minorEastAsia" w:hint="eastAsia"/>
                <w:bCs/>
                <w:sz w:val="24"/>
                <w:szCs w:val="24"/>
              </w:rPr>
              <w:t>三季度报告里提到磁阻电机产品拓展了新应用场景，请问新的应用场景具体是指</w:t>
            </w:r>
            <w:r w:rsidRPr="00796FFC">
              <w:rPr>
                <w:rFonts w:asciiTheme="minorEastAsia" w:eastAsiaTheme="minorEastAsia" w:hAnsiTheme="minorEastAsia" w:hint="eastAsia"/>
                <w:bCs/>
                <w:sz w:val="24"/>
                <w:szCs w:val="24"/>
              </w:rPr>
              <w:t>？</w:t>
            </w:r>
          </w:p>
          <w:p w14:paraId="707807FA" w14:textId="0B87D140" w:rsidR="00F41D97" w:rsidRDefault="00F41D97" w:rsidP="00F41D97">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Pr="00D753F2">
              <w:rPr>
                <w:rFonts w:ascii="楷体" w:eastAsia="楷体" w:hAnsi="楷体" w:hint="eastAsia"/>
                <w:bCs/>
                <w:sz w:val="24"/>
                <w:szCs w:val="24"/>
              </w:rPr>
              <w:t>尊敬的投资者您好，磁阻电机产品积极拓展新的应用场景，具体包括同步磁阻电机产品在风机、水泵等通用场合的应用；开关磁阻电机在牵引机车、破碎机等场合的应用。这些新场景的拓展利用了磁阻电机起动转矩大、起动电流小、可频繁起停等优势，进一步凸显了磁阻电机的节能和独特优势，增加了市场需求。感谢您对公</w:t>
            </w:r>
            <w:r w:rsidRPr="00D753F2">
              <w:rPr>
                <w:rFonts w:ascii="楷体" w:eastAsia="楷体" w:hAnsi="楷体" w:hint="eastAsia"/>
                <w:bCs/>
                <w:sz w:val="24"/>
                <w:szCs w:val="24"/>
              </w:rPr>
              <w:lastRenderedPageBreak/>
              <w:t>司的关注。</w:t>
            </w:r>
          </w:p>
          <w:p w14:paraId="66ED5AA6" w14:textId="2DFE50D0" w:rsidR="00F41D97" w:rsidRPr="002301EB" w:rsidRDefault="00F41D97" w:rsidP="00F41D97">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w:t>
            </w:r>
            <w:r>
              <w:rPr>
                <w:rFonts w:hint="eastAsia"/>
              </w:rPr>
              <w:t xml:space="preserve"> </w:t>
            </w:r>
            <w:r w:rsidRPr="00D753F2">
              <w:rPr>
                <w:rFonts w:asciiTheme="minorEastAsia" w:eastAsiaTheme="minorEastAsia" w:hAnsiTheme="minorEastAsia" w:hint="eastAsia"/>
                <w:bCs/>
                <w:sz w:val="24"/>
                <w:szCs w:val="24"/>
              </w:rPr>
              <w:t>今年在电力系统设备相关研发重点是什么</w:t>
            </w:r>
            <w:r>
              <w:rPr>
                <w:rFonts w:asciiTheme="minorEastAsia" w:eastAsiaTheme="minorEastAsia" w:hAnsiTheme="minorEastAsia" w:hint="eastAsia"/>
                <w:bCs/>
                <w:sz w:val="24"/>
                <w:szCs w:val="24"/>
              </w:rPr>
              <w:t>？</w:t>
            </w:r>
          </w:p>
          <w:p w14:paraId="44B1C7C9" w14:textId="5E446750" w:rsidR="00F41D97" w:rsidRPr="002301EB" w:rsidRDefault="00F41D97" w:rsidP="00F41D97">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Pr="00D753F2">
              <w:rPr>
                <w:rFonts w:ascii="楷体" w:eastAsia="楷体" w:hAnsi="楷体" w:hint="eastAsia"/>
                <w:bCs/>
                <w:sz w:val="24"/>
                <w:szCs w:val="24"/>
              </w:rPr>
              <w:t>尊敬的投资者您好，公司将继续发挥电力故障监测方面的技术优势和产品优势，加速推进公司电力故障检测仪器的自动化与智能化迭代以及电力线路故障监测系统的自主可控升级。公司将紧跟国家创新驱动和科技发展战略指引，依托核心技术自主可控优势，以市场需求为导向，加快研发成果转化和产品迭代，持续提升市场占有率。感谢您的关注。</w:t>
            </w:r>
          </w:p>
          <w:p w14:paraId="4DF39F44" w14:textId="39CD2F98" w:rsidR="00F41D97" w:rsidRDefault="00F41D97" w:rsidP="00F41D97">
            <w:pPr>
              <w:autoSpaceDE w:val="0"/>
              <w:autoSpaceDN w:val="0"/>
              <w:adjustRightInd w:val="0"/>
              <w:snapToGrid w:val="0"/>
              <w:spacing w:line="360" w:lineRule="auto"/>
              <w:rPr>
                <w:rFonts w:asciiTheme="minorEastAsia" w:eastAsiaTheme="minorEastAsia" w:hAnsiTheme="minorEastAsia" w:hint="eastAsia"/>
                <w:bCs/>
                <w:sz w:val="24"/>
                <w:szCs w:val="24"/>
              </w:rPr>
            </w:pPr>
            <w:r w:rsidRPr="002F4CB9">
              <w:rPr>
                <w:rFonts w:asciiTheme="minorEastAsia" w:eastAsiaTheme="minorEastAsia" w:hAnsiTheme="minorEastAsia"/>
                <w:bCs/>
                <w:sz w:val="24"/>
                <w:szCs w:val="24"/>
              </w:rPr>
              <w:t>3.</w:t>
            </w:r>
            <w:r>
              <w:rPr>
                <w:rFonts w:hint="eastAsia"/>
              </w:rPr>
              <w:t xml:space="preserve"> </w:t>
            </w:r>
            <w:r w:rsidRPr="00D753F2">
              <w:rPr>
                <w:rFonts w:asciiTheme="minorEastAsia" w:eastAsiaTheme="minorEastAsia" w:hAnsiTheme="minorEastAsia" w:hint="eastAsia"/>
                <w:bCs/>
                <w:sz w:val="24"/>
                <w:szCs w:val="24"/>
              </w:rPr>
              <w:t>第三季度公司各主要业务的毛利率同比变动情况怎么样？</w:t>
            </w:r>
          </w:p>
          <w:p w14:paraId="1631CD8C" w14:textId="54083787" w:rsidR="00F41D97" w:rsidRDefault="00F41D97" w:rsidP="00F41D97">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Pr="00D753F2">
              <w:rPr>
                <w:rFonts w:ascii="楷体" w:eastAsia="楷体" w:hAnsi="楷体" w:hint="eastAsia"/>
                <w:bCs/>
                <w:sz w:val="24"/>
                <w:szCs w:val="24"/>
              </w:rPr>
              <w:t>尊敬的投资者您好。三季度末，公司综合毛利率较去年提升超2个百分点，其中智能电网故障监测业务的毛利率较去年同期提升超4.5个百分点，电机业务毛利率较去年同期增长0.17个百分点。感谢您的关注。</w:t>
            </w:r>
          </w:p>
          <w:p w14:paraId="3569F010" w14:textId="5A471B45" w:rsidR="00F41D97" w:rsidRPr="002F4CB9" w:rsidRDefault="00F41D97" w:rsidP="00F41D97">
            <w:pPr>
              <w:autoSpaceDE w:val="0"/>
              <w:autoSpaceDN w:val="0"/>
              <w:adjustRightInd w:val="0"/>
              <w:snapToGrid w:val="0"/>
              <w:spacing w:line="360" w:lineRule="auto"/>
              <w:rPr>
                <w:rFonts w:ascii="楷体" w:eastAsia="楷体" w:hAnsi="楷体" w:hint="eastAsia"/>
                <w:bCs/>
                <w:sz w:val="24"/>
                <w:szCs w:val="24"/>
              </w:rPr>
            </w:pPr>
          </w:p>
        </w:tc>
      </w:tr>
      <w:tr w:rsidR="00F41D97" w14:paraId="74A4DCF5" w14:textId="77777777" w:rsidTr="00627FAA">
        <w:trPr>
          <w:jc w:val="center"/>
        </w:trPr>
        <w:tc>
          <w:tcPr>
            <w:tcW w:w="1281" w:type="dxa"/>
            <w:vAlign w:val="center"/>
          </w:tcPr>
          <w:p w14:paraId="675C02E0" w14:textId="7CFE8CF1" w:rsidR="00F41D97" w:rsidRPr="00605AFC" w:rsidRDefault="00F41D97" w:rsidP="00F41D97">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lastRenderedPageBreak/>
              <w:t>附件清单（如有）</w:t>
            </w:r>
          </w:p>
        </w:tc>
        <w:tc>
          <w:tcPr>
            <w:tcW w:w="7219" w:type="dxa"/>
            <w:gridSpan w:val="2"/>
            <w:vAlign w:val="center"/>
          </w:tcPr>
          <w:p w14:paraId="4FE739E5" w14:textId="77777777" w:rsidR="00F41D97" w:rsidRPr="001651C7" w:rsidRDefault="00F41D97" w:rsidP="00F41D97">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无</w:t>
            </w:r>
          </w:p>
        </w:tc>
      </w:tr>
    </w:tbl>
    <w:p w14:paraId="495F65B6" w14:textId="77777777" w:rsidR="00F66F99" w:rsidRPr="001651C7" w:rsidRDefault="00F66F99"/>
    <w:sectPr w:rsidR="00F66F99" w:rsidRPr="00165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26B8" w14:textId="77777777" w:rsidR="009E02EE" w:rsidRDefault="009E02EE" w:rsidP="00884CBA">
      <w:r>
        <w:separator/>
      </w:r>
    </w:p>
  </w:endnote>
  <w:endnote w:type="continuationSeparator" w:id="0">
    <w:p w14:paraId="65474089" w14:textId="77777777" w:rsidR="009E02EE" w:rsidRDefault="009E02EE" w:rsidP="0088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10FF" w14:textId="77777777" w:rsidR="009E02EE" w:rsidRDefault="009E02EE" w:rsidP="00884CBA">
      <w:r>
        <w:separator/>
      </w:r>
    </w:p>
  </w:footnote>
  <w:footnote w:type="continuationSeparator" w:id="0">
    <w:p w14:paraId="29892A37" w14:textId="77777777" w:rsidR="009E02EE" w:rsidRDefault="009E02EE" w:rsidP="0088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20"/>
    <w:rsid w:val="00017B82"/>
    <w:rsid w:val="00050F5F"/>
    <w:rsid w:val="00064DDF"/>
    <w:rsid w:val="000C0CC6"/>
    <w:rsid w:val="000C65C6"/>
    <w:rsid w:val="000E40BD"/>
    <w:rsid w:val="000F50D2"/>
    <w:rsid w:val="00131862"/>
    <w:rsid w:val="0015440E"/>
    <w:rsid w:val="001651C7"/>
    <w:rsid w:val="00173E96"/>
    <w:rsid w:val="00181554"/>
    <w:rsid w:val="001952FA"/>
    <w:rsid w:val="001B5295"/>
    <w:rsid w:val="001C1F2A"/>
    <w:rsid w:val="001D018F"/>
    <w:rsid w:val="001D7417"/>
    <w:rsid w:val="002022E3"/>
    <w:rsid w:val="002137E5"/>
    <w:rsid w:val="002301EB"/>
    <w:rsid w:val="00236AB0"/>
    <w:rsid w:val="00281F48"/>
    <w:rsid w:val="00283A66"/>
    <w:rsid w:val="002C1975"/>
    <w:rsid w:val="002C77E3"/>
    <w:rsid w:val="002E0CC0"/>
    <w:rsid w:val="002F4CB9"/>
    <w:rsid w:val="0035778A"/>
    <w:rsid w:val="00372057"/>
    <w:rsid w:val="00385198"/>
    <w:rsid w:val="003A12EE"/>
    <w:rsid w:val="00406019"/>
    <w:rsid w:val="00431320"/>
    <w:rsid w:val="0048030A"/>
    <w:rsid w:val="004965D9"/>
    <w:rsid w:val="004B64F9"/>
    <w:rsid w:val="004E4D77"/>
    <w:rsid w:val="004F7EBD"/>
    <w:rsid w:val="005364BA"/>
    <w:rsid w:val="00564F91"/>
    <w:rsid w:val="0056545F"/>
    <w:rsid w:val="005A6B3A"/>
    <w:rsid w:val="005B434E"/>
    <w:rsid w:val="005C1815"/>
    <w:rsid w:val="005E01FD"/>
    <w:rsid w:val="005E2104"/>
    <w:rsid w:val="00605AFC"/>
    <w:rsid w:val="00624F66"/>
    <w:rsid w:val="00627FAA"/>
    <w:rsid w:val="00674825"/>
    <w:rsid w:val="00675D60"/>
    <w:rsid w:val="00684FD3"/>
    <w:rsid w:val="006A5595"/>
    <w:rsid w:val="00730010"/>
    <w:rsid w:val="00743ABE"/>
    <w:rsid w:val="00796FFC"/>
    <w:rsid w:val="00797081"/>
    <w:rsid w:val="007B0D83"/>
    <w:rsid w:val="007F75AE"/>
    <w:rsid w:val="0080229B"/>
    <w:rsid w:val="00804303"/>
    <w:rsid w:val="00810CB7"/>
    <w:rsid w:val="008128A7"/>
    <w:rsid w:val="00813966"/>
    <w:rsid w:val="00825DC8"/>
    <w:rsid w:val="008400DF"/>
    <w:rsid w:val="00847E84"/>
    <w:rsid w:val="008733EB"/>
    <w:rsid w:val="00884CBA"/>
    <w:rsid w:val="00890276"/>
    <w:rsid w:val="008C4236"/>
    <w:rsid w:val="008E4674"/>
    <w:rsid w:val="008F0D79"/>
    <w:rsid w:val="00926A97"/>
    <w:rsid w:val="00930575"/>
    <w:rsid w:val="0093104C"/>
    <w:rsid w:val="00946D6C"/>
    <w:rsid w:val="009477A9"/>
    <w:rsid w:val="00953999"/>
    <w:rsid w:val="009556F2"/>
    <w:rsid w:val="00963B71"/>
    <w:rsid w:val="009A55AE"/>
    <w:rsid w:val="009B14E3"/>
    <w:rsid w:val="009B2256"/>
    <w:rsid w:val="009C0BDA"/>
    <w:rsid w:val="009C6527"/>
    <w:rsid w:val="009E02EE"/>
    <w:rsid w:val="009E3CAD"/>
    <w:rsid w:val="00A10F69"/>
    <w:rsid w:val="00A20501"/>
    <w:rsid w:val="00A33A4E"/>
    <w:rsid w:val="00A41116"/>
    <w:rsid w:val="00A4141D"/>
    <w:rsid w:val="00A6265B"/>
    <w:rsid w:val="00AE3436"/>
    <w:rsid w:val="00AE5B7B"/>
    <w:rsid w:val="00AF2817"/>
    <w:rsid w:val="00B27663"/>
    <w:rsid w:val="00B36AA7"/>
    <w:rsid w:val="00B93D20"/>
    <w:rsid w:val="00BA3939"/>
    <w:rsid w:val="00BE5134"/>
    <w:rsid w:val="00BE6D05"/>
    <w:rsid w:val="00C1732C"/>
    <w:rsid w:val="00C31577"/>
    <w:rsid w:val="00C3520F"/>
    <w:rsid w:val="00C66B90"/>
    <w:rsid w:val="00C82BB3"/>
    <w:rsid w:val="00CA7A98"/>
    <w:rsid w:val="00CB34A9"/>
    <w:rsid w:val="00CC6709"/>
    <w:rsid w:val="00CF08E3"/>
    <w:rsid w:val="00CF0C80"/>
    <w:rsid w:val="00D12915"/>
    <w:rsid w:val="00D20D7E"/>
    <w:rsid w:val="00D6643F"/>
    <w:rsid w:val="00D753F2"/>
    <w:rsid w:val="00DA4AF4"/>
    <w:rsid w:val="00DB7552"/>
    <w:rsid w:val="00E175FF"/>
    <w:rsid w:val="00E22F87"/>
    <w:rsid w:val="00E55429"/>
    <w:rsid w:val="00E74125"/>
    <w:rsid w:val="00E839D9"/>
    <w:rsid w:val="00E92A9C"/>
    <w:rsid w:val="00E96905"/>
    <w:rsid w:val="00EA353F"/>
    <w:rsid w:val="00EA7EFB"/>
    <w:rsid w:val="00EB2199"/>
    <w:rsid w:val="00EC1863"/>
    <w:rsid w:val="00F41D97"/>
    <w:rsid w:val="00F56686"/>
    <w:rsid w:val="00F66F99"/>
    <w:rsid w:val="00F950F8"/>
    <w:rsid w:val="00FA4884"/>
    <w:rsid w:val="00FA7D94"/>
    <w:rsid w:val="00FD653D"/>
    <w:rsid w:val="00FD7FB4"/>
    <w:rsid w:val="00FE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1191FC"/>
  <w15:chartTrackingRefBased/>
  <w15:docId w15:val="{DF74D964-C56F-4B34-9597-EB4E7B66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1C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C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4CBA"/>
    <w:rPr>
      <w:rFonts w:ascii="Times New Roman" w:eastAsia="宋体" w:hAnsi="Times New Roman" w:cs="Times New Roman"/>
      <w:sz w:val="18"/>
      <w:szCs w:val="18"/>
    </w:rPr>
  </w:style>
  <w:style w:type="paragraph" w:styleId="a6">
    <w:name w:val="footer"/>
    <w:basedOn w:val="a"/>
    <w:link w:val="a7"/>
    <w:uiPriority w:val="99"/>
    <w:unhideWhenUsed/>
    <w:rsid w:val="00884CBA"/>
    <w:pPr>
      <w:tabs>
        <w:tab w:val="center" w:pos="4153"/>
        <w:tab w:val="right" w:pos="8306"/>
      </w:tabs>
      <w:snapToGrid w:val="0"/>
      <w:jc w:val="left"/>
    </w:pPr>
    <w:rPr>
      <w:sz w:val="18"/>
      <w:szCs w:val="18"/>
    </w:rPr>
  </w:style>
  <w:style w:type="character" w:customStyle="1" w:styleId="a7">
    <w:name w:val="页脚 字符"/>
    <w:basedOn w:val="a0"/>
    <w:link w:val="a6"/>
    <w:uiPriority w:val="99"/>
    <w:rsid w:val="00884C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6532">
      <w:bodyDiv w:val="1"/>
      <w:marLeft w:val="0"/>
      <w:marRight w:val="0"/>
      <w:marTop w:val="0"/>
      <w:marBottom w:val="0"/>
      <w:divBdr>
        <w:top w:val="none" w:sz="0" w:space="0" w:color="auto"/>
        <w:left w:val="none" w:sz="0" w:space="0" w:color="auto"/>
        <w:bottom w:val="none" w:sz="0" w:space="0" w:color="auto"/>
        <w:right w:val="none" w:sz="0" w:space="0" w:color="auto"/>
      </w:divBdr>
    </w:div>
    <w:div w:id="301235028">
      <w:bodyDiv w:val="1"/>
      <w:marLeft w:val="0"/>
      <w:marRight w:val="0"/>
      <w:marTop w:val="0"/>
      <w:marBottom w:val="0"/>
      <w:divBdr>
        <w:top w:val="none" w:sz="0" w:space="0" w:color="auto"/>
        <w:left w:val="none" w:sz="0" w:space="0" w:color="auto"/>
        <w:bottom w:val="none" w:sz="0" w:space="0" w:color="auto"/>
        <w:right w:val="none" w:sz="0" w:space="0" w:color="auto"/>
      </w:divBdr>
    </w:div>
    <w:div w:id="534119321">
      <w:bodyDiv w:val="1"/>
      <w:marLeft w:val="0"/>
      <w:marRight w:val="0"/>
      <w:marTop w:val="0"/>
      <w:marBottom w:val="0"/>
      <w:divBdr>
        <w:top w:val="none" w:sz="0" w:space="0" w:color="auto"/>
        <w:left w:val="none" w:sz="0" w:space="0" w:color="auto"/>
        <w:bottom w:val="none" w:sz="0" w:space="0" w:color="auto"/>
        <w:right w:val="none" w:sz="0" w:space="0" w:color="auto"/>
      </w:divBdr>
    </w:div>
    <w:div w:id="553468262">
      <w:bodyDiv w:val="1"/>
      <w:marLeft w:val="0"/>
      <w:marRight w:val="0"/>
      <w:marTop w:val="0"/>
      <w:marBottom w:val="0"/>
      <w:divBdr>
        <w:top w:val="none" w:sz="0" w:space="0" w:color="auto"/>
        <w:left w:val="none" w:sz="0" w:space="0" w:color="auto"/>
        <w:bottom w:val="none" w:sz="0" w:space="0" w:color="auto"/>
        <w:right w:val="none" w:sz="0" w:space="0" w:color="auto"/>
      </w:divBdr>
    </w:div>
    <w:div w:id="574971167">
      <w:bodyDiv w:val="1"/>
      <w:marLeft w:val="0"/>
      <w:marRight w:val="0"/>
      <w:marTop w:val="0"/>
      <w:marBottom w:val="0"/>
      <w:divBdr>
        <w:top w:val="none" w:sz="0" w:space="0" w:color="auto"/>
        <w:left w:val="none" w:sz="0" w:space="0" w:color="auto"/>
        <w:bottom w:val="none" w:sz="0" w:space="0" w:color="auto"/>
        <w:right w:val="none" w:sz="0" w:space="0" w:color="auto"/>
      </w:divBdr>
    </w:div>
    <w:div w:id="627859329">
      <w:bodyDiv w:val="1"/>
      <w:marLeft w:val="0"/>
      <w:marRight w:val="0"/>
      <w:marTop w:val="0"/>
      <w:marBottom w:val="0"/>
      <w:divBdr>
        <w:top w:val="none" w:sz="0" w:space="0" w:color="auto"/>
        <w:left w:val="none" w:sz="0" w:space="0" w:color="auto"/>
        <w:bottom w:val="none" w:sz="0" w:space="0" w:color="auto"/>
        <w:right w:val="none" w:sz="0" w:space="0" w:color="auto"/>
      </w:divBdr>
    </w:div>
    <w:div w:id="700741205">
      <w:bodyDiv w:val="1"/>
      <w:marLeft w:val="0"/>
      <w:marRight w:val="0"/>
      <w:marTop w:val="0"/>
      <w:marBottom w:val="0"/>
      <w:divBdr>
        <w:top w:val="none" w:sz="0" w:space="0" w:color="auto"/>
        <w:left w:val="none" w:sz="0" w:space="0" w:color="auto"/>
        <w:bottom w:val="none" w:sz="0" w:space="0" w:color="auto"/>
        <w:right w:val="none" w:sz="0" w:space="0" w:color="auto"/>
      </w:divBdr>
    </w:div>
    <w:div w:id="746075128">
      <w:bodyDiv w:val="1"/>
      <w:marLeft w:val="0"/>
      <w:marRight w:val="0"/>
      <w:marTop w:val="0"/>
      <w:marBottom w:val="0"/>
      <w:divBdr>
        <w:top w:val="none" w:sz="0" w:space="0" w:color="auto"/>
        <w:left w:val="none" w:sz="0" w:space="0" w:color="auto"/>
        <w:bottom w:val="none" w:sz="0" w:space="0" w:color="auto"/>
        <w:right w:val="none" w:sz="0" w:space="0" w:color="auto"/>
      </w:divBdr>
    </w:div>
    <w:div w:id="768963124">
      <w:bodyDiv w:val="1"/>
      <w:marLeft w:val="0"/>
      <w:marRight w:val="0"/>
      <w:marTop w:val="0"/>
      <w:marBottom w:val="0"/>
      <w:divBdr>
        <w:top w:val="none" w:sz="0" w:space="0" w:color="auto"/>
        <w:left w:val="none" w:sz="0" w:space="0" w:color="auto"/>
        <w:bottom w:val="none" w:sz="0" w:space="0" w:color="auto"/>
        <w:right w:val="none" w:sz="0" w:space="0" w:color="auto"/>
      </w:divBdr>
    </w:div>
    <w:div w:id="894661702">
      <w:bodyDiv w:val="1"/>
      <w:marLeft w:val="0"/>
      <w:marRight w:val="0"/>
      <w:marTop w:val="0"/>
      <w:marBottom w:val="0"/>
      <w:divBdr>
        <w:top w:val="none" w:sz="0" w:space="0" w:color="auto"/>
        <w:left w:val="none" w:sz="0" w:space="0" w:color="auto"/>
        <w:bottom w:val="none" w:sz="0" w:space="0" w:color="auto"/>
        <w:right w:val="none" w:sz="0" w:space="0" w:color="auto"/>
      </w:divBdr>
    </w:div>
    <w:div w:id="1174027955">
      <w:bodyDiv w:val="1"/>
      <w:marLeft w:val="0"/>
      <w:marRight w:val="0"/>
      <w:marTop w:val="0"/>
      <w:marBottom w:val="0"/>
      <w:divBdr>
        <w:top w:val="none" w:sz="0" w:space="0" w:color="auto"/>
        <w:left w:val="none" w:sz="0" w:space="0" w:color="auto"/>
        <w:bottom w:val="none" w:sz="0" w:space="0" w:color="auto"/>
        <w:right w:val="none" w:sz="0" w:space="0" w:color="auto"/>
      </w:divBdr>
    </w:div>
    <w:div w:id="1233387587">
      <w:bodyDiv w:val="1"/>
      <w:marLeft w:val="0"/>
      <w:marRight w:val="0"/>
      <w:marTop w:val="0"/>
      <w:marBottom w:val="0"/>
      <w:divBdr>
        <w:top w:val="none" w:sz="0" w:space="0" w:color="auto"/>
        <w:left w:val="none" w:sz="0" w:space="0" w:color="auto"/>
        <w:bottom w:val="none" w:sz="0" w:space="0" w:color="auto"/>
        <w:right w:val="none" w:sz="0" w:space="0" w:color="auto"/>
      </w:divBdr>
    </w:div>
    <w:div w:id="1236815888">
      <w:bodyDiv w:val="1"/>
      <w:marLeft w:val="0"/>
      <w:marRight w:val="0"/>
      <w:marTop w:val="0"/>
      <w:marBottom w:val="0"/>
      <w:divBdr>
        <w:top w:val="none" w:sz="0" w:space="0" w:color="auto"/>
        <w:left w:val="none" w:sz="0" w:space="0" w:color="auto"/>
        <w:bottom w:val="none" w:sz="0" w:space="0" w:color="auto"/>
        <w:right w:val="none" w:sz="0" w:space="0" w:color="auto"/>
      </w:divBdr>
    </w:div>
    <w:div w:id="1361467656">
      <w:bodyDiv w:val="1"/>
      <w:marLeft w:val="0"/>
      <w:marRight w:val="0"/>
      <w:marTop w:val="0"/>
      <w:marBottom w:val="0"/>
      <w:divBdr>
        <w:top w:val="none" w:sz="0" w:space="0" w:color="auto"/>
        <w:left w:val="none" w:sz="0" w:space="0" w:color="auto"/>
        <w:bottom w:val="none" w:sz="0" w:space="0" w:color="auto"/>
        <w:right w:val="none" w:sz="0" w:space="0" w:color="auto"/>
      </w:divBdr>
    </w:div>
    <w:div w:id="1615213136">
      <w:bodyDiv w:val="1"/>
      <w:marLeft w:val="0"/>
      <w:marRight w:val="0"/>
      <w:marTop w:val="0"/>
      <w:marBottom w:val="0"/>
      <w:divBdr>
        <w:top w:val="none" w:sz="0" w:space="0" w:color="auto"/>
        <w:left w:val="none" w:sz="0" w:space="0" w:color="auto"/>
        <w:bottom w:val="none" w:sz="0" w:space="0" w:color="auto"/>
        <w:right w:val="none" w:sz="0" w:space="0" w:color="auto"/>
      </w:divBdr>
    </w:div>
    <w:div w:id="1659381375">
      <w:bodyDiv w:val="1"/>
      <w:marLeft w:val="0"/>
      <w:marRight w:val="0"/>
      <w:marTop w:val="0"/>
      <w:marBottom w:val="0"/>
      <w:divBdr>
        <w:top w:val="none" w:sz="0" w:space="0" w:color="auto"/>
        <w:left w:val="none" w:sz="0" w:space="0" w:color="auto"/>
        <w:bottom w:val="none" w:sz="0" w:space="0" w:color="auto"/>
        <w:right w:val="none" w:sz="0" w:space="0" w:color="auto"/>
      </w:divBdr>
    </w:div>
    <w:div w:id="1764062891">
      <w:bodyDiv w:val="1"/>
      <w:marLeft w:val="0"/>
      <w:marRight w:val="0"/>
      <w:marTop w:val="0"/>
      <w:marBottom w:val="0"/>
      <w:divBdr>
        <w:top w:val="none" w:sz="0" w:space="0" w:color="auto"/>
        <w:left w:val="none" w:sz="0" w:space="0" w:color="auto"/>
        <w:bottom w:val="none" w:sz="0" w:space="0" w:color="auto"/>
        <w:right w:val="none" w:sz="0" w:space="0" w:color="auto"/>
      </w:divBdr>
    </w:div>
    <w:div w:id="1793286712">
      <w:bodyDiv w:val="1"/>
      <w:marLeft w:val="0"/>
      <w:marRight w:val="0"/>
      <w:marTop w:val="0"/>
      <w:marBottom w:val="0"/>
      <w:divBdr>
        <w:top w:val="none" w:sz="0" w:space="0" w:color="auto"/>
        <w:left w:val="none" w:sz="0" w:space="0" w:color="auto"/>
        <w:bottom w:val="none" w:sz="0" w:space="0" w:color="auto"/>
        <w:right w:val="none" w:sz="0" w:space="0" w:color="auto"/>
      </w:divBdr>
    </w:div>
    <w:div w:id="1870684508">
      <w:bodyDiv w:val="1"/>
      <w:marLeft w:val="0"/>
      <w:marRight w:val="0"/>
      <w:marTop w:val="0"/>
      <w:marBottom w:val="0"/>
      <w:divBdr>
        <w:top w:val="none" w:sz="0" w:space="0" w:color="auto"/>
        <w:left w:val="none" w:sz="0" w:space="0" w:color="auto"/>
        <w:bottom w:val="none" w:sz="0" w:space="0" w:color="auto"/>
        <w:right w:val="none" w:sz="0" w:space="0" w:color="auto"/>
      </w:divBdr>
    </w:div>
    <w:div w:id="1901742340">
      <w:bodyDiv w:val="1"/>
      <w:marLeft w:val="0"/>
      <w:marRight w:val="0"/>
      <w:marTop w:val="0"/>
      <w:marBottom w:val="0"/>
      <w:divBdr>
        <w:top w:val="none" w:sz="0" w:space="0" w:color="auto"/>
        <w:left w:val="none" w:sz="0" w:space="0" w:color="auto"/>
        <w:bottom w:val="none" w:sz="0" w:space="0" w:color="auto"/>
        <w:right w:val="none" w:sz="0" w:space="0" w:color="auto"/>
      </w:divBdr>
    </w:div>
    <w:div w:id="2002653579">
      <w:bodyDiv w:val="1"/>
      <w:marLeft w:val="0"/>
      <w:marRight w:val="0"/>
      <w:marTop w:val="0"/>
      <w:marBottom w:val="0"/>
      <w:divBdr>
        <w:top w:val="none" w:sz="0" w:space="0" w:color="auto"/>
        <w:left w:val="none" w:sz="0" w:space="0" w:color="auto"/>
        <w:bottom w:val="none" w:sz="0" w:space="0" w:color="auto"/>
        <w:right w:val="none" w:sz="0" w:space="0" w:color="auto"/>
      </w:divBdr>
    </w:div>
    <w:div w:id="2036690246">
      <w:bodyDiv w:val="1"/>
      <w:marLeft w:val="0"/>
      <w:marRight w:val="0"/>
      <w:marTop w:val="0"/>
      <w:marBottom w:val="0"/>
      <w:divBdr>
        <w:top w:val="none" w:sz="0" w:space="0" w:color="auto"/>
        <w:left w:val="none" w:sz="0" w:space="0" w:color="auto"/>
        <w:bottom w:val="none" w:sz="0" w:space="0" w:color="auto"/>
        <w:right w:val="none" w:sz="0" w:space="0" w:color="auto"/>
      </w:divBdr>
    </w:div>
    <w:div w:id="2056806805">
      <w:bodyDiv w:val="1"/>
      <w:marLeft w:val="0"/>
      <w:marRight w:val="0"/>
      <w:marTop w:val="0"/>
      <w:marBottom w:val="0"/>
      <w:divBdr>
        <w:top w:val="none" w:sz="0" w:space="0" w:color="auto"/>
        <w:left w:val="none" w:sz="0" w:space="0" w:color="auto"/>
        <w:bottom w:val="none" w:sz="0" w:space="0" w:color="auto"/>
        <w:right w:val="none" w:sz="0" w:space="0" w:color="auto"/>
      </w:divBdr>
    </w:div>
    <w:div w:id="20894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Douzi</dc:creator>
  <cp:keywords/>
  <dc:description/>
  <cp:lastModifiedBy>k12797</cp:lastModifiedBy>
  <cp:revision>9</cp:revision>
  <dcterms:created xsi:type="dcterms:W3CDTF">2024-05-27T08:26:00Z</dcterms:created>
  <dcterms:modified xsi:type="dcterms:W3CDTF">2025-11-05T02:29:00Z</dcterms:modified>
</cp:coreProperties>
</file>