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1229" w14:textId="77777777" w:rsidR="00FE3A01" w:rsidRPr="00403E64" w:rsidRDefault="00DC406F">
      <w:pPr>
        <w:rPr>
          <w:rFonts w:ascii="宋体" w:eastAsia="宋体" w:hAnsi="宋体"/>
          <w:sz w:val="24"/>
        </w:rPr>
      </w:pPr>
      <w:r w:rsidRPr="00403E64">
        <w:rPr>
          <w:rFonts w:ascii="宋体" w:eastAsia="宋体" w:hAnsi="宋体" w:hint="eastAsia"/>
          <w:sz w:val="24"/>
        </w:rPr>
        <w:t>证券代码：</w:t>
      </w:r>
      <w:r w:rsidR="00F43981" w:rsidRPr="00721F0E">
        <w:rPr>
          <w:rFonts w:ascii="Times New Roman" w:eastAsia="宋体" w:hAnsi="Times New Roman" w:cs="Times New Roman"/>
          <w:sz w:val="24"/>
        </w:rPr>
        <w:t>688506</w:t>
      </w:r>
      <w:r w:rsidR="00F43981" w:rsidRPr="00403E64">
        <w:rPr>
          <w:rFonts w:ascii="宋体" w:eastAsia="宋体" w:hAnsi="宋体" w:hint="eastAsia"/>
          <w:sz w:val="24"/>
        </w:rPr>
        <w:t xml:space="preserve"> </w:t>
      </w:r>
      <w:r w:rsidRPr="00403E64">
        <w:rPr>
          <w:rFonts w:ascii="宋体" w:eastAsia="宋体" w:hAnsi="宋体"/>
          <w:sz w:val="24"/>
        </w:rPr>
        <w:t xml:space="preserve">                                </w:t>
      </w:r>
      <w:r w:rsidRPr="00403E64">
        <w:rPr>
          <w:rFonts w:ascii="宋体" w:eastAsia="宋体" w:hAnsi="宋体" w:hint="eastAsia"/>
          <w:sz w:val="24"/>
        </w:rPr>
        <w:t>证券简称：</w:t>
      </w:r>
      <w:proofErr w:type="gramStart"/>
      <w:r w:rsidRPr="00403E64">
        <w:rPr>
          <w:rFonts w:ascii="宋体" w:eastAsia="宋体" w:hAnsi="宋体" w:hint="eastAsia"/>
          <w:sz w:val="24"/>
        </w:rPr>
        <w:t>百利天恒</w:t>
      </w:r>
      <w:proofErr w:type="gramEnd"/>
    </w:p>
    <w:p w14:paraId="1475685E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 w:hint="eastAsia"/>
          <w:b/>
          <w:sz w:val="32"/>
          <w:szCs w:val="32"/>
        </w:rPr>
        <w:t>四川</w:t>
      </w:r>
      <w:proofErr w:type="gramStart"/>
      <w:r w:rsidRPr="00403E64">
        <w:rPr>
          <w:rFonts w:ascii="宋体" w:eastAsia="宋体" w:hAnsi="宋体" w:hint="eastAsia"/>
          <w:b/>
          <w:sz w:val="32"/>
          <w:szCs w:val="32"/>
        </w:rPr>
        <w:t>百利天恒</w:t>
      </w:r>
      <w:proofErr w:type="gramEnd"/>
      <w:r w:rsidRPr="00403E64">
        <w:rPr>
          <w:rFonts w:ascii="宋体" w:eastAsia="宋体" w:hAnsi="宋体" w:hint="eastAsia"/>
          <w:b/>
          <w:sz w:val="32"/>
          <w:szCs w:val="32"/>
        </w:rPr>
        <w:t>药业股份有限公司</w:t>
      </w:r>
    </w:p>
    <w:p w14:paraId="77319DD6" w14:textId="77777777" w:rsidR="00DC406F" w:rsidRPr="00403E64" w:rsidRDefault="00DC406F" w:rsidP="00DC406F">
      <w:pPr>
        <w:jc w:val="center"/>
        <w:rPr>
          <w:rFonts w:ascii="宋体" w:eastAsia="宋体" w:hAnsi="宋体"/>
          <w:b/>
          <w:sz w:val="32"/>
          <w:szCs w:val="32"/>
        </w:rPr>
      </w:pPr>
      <w:r w:rsidRPr="00403E64">
        <w:rPr>
          <w:rFonts w:ascii="宋体" w:eastAsia="宋体" w:hAnsi="宋体"/>
          <w:b/>
          <w:sz w:val="32"/>
          <w:szCs w:val="32"/>
        </w:rPr>
        <w:t>投资者关系活动记录表</w:t>
      </w:r>
    </w:p>
    <w:p w14:paraId="458103B7" w14:textId="0E913413" w:rsidR="00DC406F" w:rsidRPr="00403E64" w:rsidRDefault="00DC406F" w:rsidP="00F43981">
      <w:pPr>
        <w:jc w:val="center"/>
        <w:rPr>
          <w:rFonts w:ascii="宋体" w:eastAsia="宋体" w:hAnsi="宋体"/>
          <w:b/>
          <w:sz w:val="2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DE3CC2" w:rsidRPr="00403E64" w14:paraId="08A72284" w14:textId="77777777" w:rsidTr="003C3B67">
        <w:tc>
          <w:tcPr>
            <w:tcW w:w="1696" w:type="dxa"/>
            <w:vAlign w:val="center"/>
          </w:tcPr>
          <w:p w14:paraId="01786FC2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6600" w:type="dxa"/>
            <w:vAlign w:val="center"/>
          </w:tcPr>
          <w:p w14:paraId="046404A7" w14:textId="1630A2FC" w:rsidR="00DE3CC2" w:rsidRPr="00E33E41" w:rsidRDefault="00EA527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 w:hint="eastAsia"/>
                <w:sz w:val="24"/>
                <w:szCs w:val="24"/>
              </w:rPr>
              <w:t>特定对象调研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="0070355E" w:rsidRPr="00E33E41">
              <w:rPr>
                <w:rFonts w:ascii="宋体" w:eastAsia="宋体" w:hAnsi="宋体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14:paraId="0C131D5D" w14:textId="3876144E" w:rsidR="00DE3CC2" w:rsidRPr="00E33E41" w:rsidRDefault="00DE3CC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□媒体采访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 xml:space="preserve">          </w:t>
            </w:r>
            <w:r w:rsidR="001B1F79"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>业绩说明会</w:t>
            </w:r>
          </w:p>
          <w:p w14:paraId="545A3B94" w14:textId="77777777" w:rsidR="00DE3CC2" w:rsidRPr="00E33E41" w:rsidRDefault="00DE3CC2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□新闻发布会</w:t>
            </w:r>
            <w:r w:rsidRPr="00E33E41">
              <w:rPr>
                <w:rFonts w:ascii="宋体" w:eastAsia="宋体" w:hAnsi="宋体"/>
                <w:sz w:val="24"/>
                <w:szCs w:val="24"/>
              </w:rPr>
              <w:t xml:space="preserve">        □路演活动</w:t>
            </w:r>
          </w:p>
          <w:p w14:paraId="43BFBF02" w14:textId="77777777" w:rsidR="00A52C7C" w:rsidRDefault="006D41F9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DE3CC2" w:rsidRPr="00E33E41">
              <w:rPr>
                <w:rFonts w:ascii="宋体" w:eastAsia="宋体" w:hAnsi="宋体" w:hint="eastAsia"/>
                <w:sz w:val="24"/>
                <w:szCs w:val="24"/>
              </w:rPr>
              <w:t xml:space="preserve">现场参观 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 xml:space="preserve">         </w:t>
            </w:r>
          </w:p>
          <w:p w14:paraId="24AC7F94" w14:textId="3764E86F" w:rsidR="00DE3CC2" w:rsidRPr="00403E64" w:rsidRDefault="006A4902" w:rsidP="00BA3687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 w:rsidRPr="00E33E41">
              <w:rPr>
                <w:rFonts w:ascii="宋体" w:eastAsia="宋体" w:hAnsi="宋体" w:hint="eastAsia"/>
                <w:sz w:val="24"/>
                <w:szCs w:val="24"/>
              </w:rPr>
              <w:t>√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其他（</w:t>
            </w:r>
            <w:r w:rsidR="003707F1" w:rsidRPr="003707F1">
              <w:rPr>
                <w:rFonts w:ascii="宋体" w:eastAsia="宋体" w:hAnsi="宋体"/>
                <w:sz w:val="24"/>
                <w:szCs w:val="24"/>
              </w:rPr>
              <w:t>202</w:t>
            </w:r>
            <w:r w:rsidR="00873958">
              <w:rPr>
                <w:rFonts w:ascii="宋体" w:eastAsia="宋体" w:hAnsi="宋体"/>
                <w:sz w:val="24"/>
                <w:szCs w:val="24"/>
              </w:rPr>
              <w:t>5</w:t>
            </w:r>
            <w:r w:rsidR="003707F1" w:rsidRPr="003707F1">
              <w:rPr>
                <w:rFonts w:ascii="宋体" w:eastAsia="宋体" w:hAnsi="宋体"/>
                <w:sz w:val="24"/>
                <w:szCs w:val="24"/>
              </w:rPr>
              <w:t>年</w:t>
            </w:r>
            <w:r w:rsidR="00A52C7C">
              <w:rPr>
                <w:rFonts w:ascii="宋体" w:eastAsia="宋体" w:hAnsi="宋体" w:hint="eastAsia"/>
                <w:sz w:val="24"/>
                <w:szCs w:val="24"/>
              </w:rPr>
              <w:t>三季报及近期业务进展电话会</w:t>
            </w:r>
            <w:r w:rsidR="00DE3CC2" w:rsidRPr="00E33E41"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</w:tr>
      <w:tr w:rsidR="00DE3CC2" w:rsidRPr="00403E64" w14:paraId="4FF79863" w14:textId="77777777" w:rsidTr="003C3B67">
        <w:tc>
          <w:tcPr>
            <w:tcW w:w="1696" w:type="dxa"/>
            <w:vAlign w:val="center"/>
          </w:tcPr>
          <w:p w14:paraId="0EE3DBF3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参与单位名称</w:t>
            </w:r>
          </w:p>
        </w:tc>
        <w:tc>
          <w:tcPr>
            <w:tcW w:w="6600" w:type="dxa"/>
            <w:vAlign w:val="center"/>
          </w:tcPr>
          <w:p w14:paraId="184952BB" w14:textId="2DCEA3EB" w:rsidR="00945682" w:rsidRPr="00945682" w:rsidRDefault="00945682" w:rsidP="00945682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中信证券、华泰证券、东吴证券、开源证券、国泰海通</w:t>
            </w:r>
            <w:r w:rsidR="00B56F8A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证券</w:t>
            </w: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、广发证券、中</w:t>
            </w:r>
            <w:proofErr w:type="gramStart"/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信建投证券</w:t>
            </w:r>
            <w:proofErr w:type="gramEnd"/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、国联民生证券、华西证券、太平洋证券、兴业证券、招商证券、国盛证券、中金</w:t>
            </w:r>
            <w:r w:rsidR="000131B7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清池资本（香港）有限公司、深圳市榕树投资管理有限公司、泰康资产管理（香港）有限公司、上海证券有限责任公司、华能贵诚信托有限公司、深圳市领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骥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资本管理有限公司、光大保德信、金鹰基金管理有限公司、上海君和立成投资管理中心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有限合伙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、北京旭芽私募基金管理有限公司、富安达基金管理有限公司、深圳市红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筹投资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有限公司、农银汇理基金管理有限公司、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信达澳亚基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金管理有限公司、摩根基金管理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有限公司、碧云资本、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敦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和资产管理有限公司、摩根士丹利基金管理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中国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中庚基金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管理有限公司、南方基金管理股份有限</w:t>
            </w:r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公司、东方证券资产管理有限公司、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汇添富基金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管理股份有限公司、北京知合私募基金管理有限公司、上海乾瞻资产管理有限公司、上海世诚投资管理有限公司、德邦基金管理有限公司、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鲸域资产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管理（上海）有限公司、交银施罗德基金管理有限公司、上海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慎知资产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管理合伙企业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有限合伙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西部利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得、华夏香港、东海基金管理有限责任公司、光大证券股份有限公司、长江证券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上海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资产管理有限公司、长城证券资管、国联安基金管理有限责任公司、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创金合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信基金管理有限公司、拾贝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投资管理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北京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有限公司、天风证券、平安基金管理有限公司</w:t>
            </w:r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、长信基金管理有限责任公司、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博裕资本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、红土创新基金管理有限公司、宝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盈基金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管理有限公司、深圳市中欧瑞博投资管理股份有限公司、交银保险资产管理有限公司、进益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天津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资产管理有限责任公司、第一北京基金、广东谢诺辰阳私募证券投资管理有限公司、广东天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辰元信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私募基金管理有限公司、中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金资管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、北京国贸证券、贝莱德机构信托、深圳前海汇杰达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理资本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有限公司、平安养老、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工银瑞信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循远资产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管理（上海）有限公司、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天弘基金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、摩根士丹利亚洲有限公司、上海泾溪投资管理合伙企业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有限合</w:t>
            </w:r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伙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、华宝基金、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北京诚盛投资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、海南果实私募基金管理有限公司、河清资本、鹏华基金、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韩投信托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(KITMC)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华夏财富创新投资管理有限公司、上海小海豚投资有限公司、上海易正朗投资管理有限公司、上海光大证券资产管理有限公司、上海菁上甲万资产管理有限公司、东方阿尔法基金管理有限公司、上海水璞私募基金管理中心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有限合伙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HBM China Healthcare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、鸿途私募、安信基金管理有限责任公司、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华夏东方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养老资产管理有限公司、中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信建投基金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、东方自营、蜂巢基金管理有限公司、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涌容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香港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资产管理有限公司、国信证券香港、</w:t>
            </w:r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浙商基金、中国人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保资产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管理有限公司、湖南源乘私募基金管理有限公司、杭州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汇升投资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泓澄投资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、尚石投资管理有限责任公司、东吴基金管理有限公司、上海新伯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霖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私募基金管理有限公司、上海名禹资产管理有限公司、中航基金管理有限公司、中英人寿保险有限公司、</w:t>
            </w:r>
            <w:proofErr w:type="gramStart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天虫资本</w:t>
            </w:r>
            <w:proofErr w:type="gramEnd"/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管理有限公司、首创证券股份有限公司、格林基金管理有限公司、混沌投资、大象资产、长盛基金、武汉建设大道证券、中荷人寿、国金证券资管、毕德投资咨询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(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上海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)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有限公司、明汯投资、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汇安基金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、国海富兰克林基金、高毅资产、中信证券资管、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天津赋远私募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基金、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Haitong International Investment Managers Limited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、泽</w:t>
            </w:r>
            <w:proofErr w:type="gram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鑫</w:t>
            </w:r>
            <w:proofErr w:type="gram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毅德、醴泽投资、浙商医药、国海医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lastRenderedPageBreak/>
              <w:t>药、恒泽投资、中泰证券、西部医药、博时</w:t>
            </w:r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基金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、建信养老金管理有限责任公司、东北医药、太朴生命科学投资、中邮证券、智城资本、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DM Capital</w:t>
            </w:r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、汇丰医药、北京金百镕投资、深圳景泰利丰投资、湘禾投资、上海理成资产管理有限、山西证券、浦银安盛基金、英大信托、兴合基金、</w:t>
            </w:r>
            <w:proofErr w:type="spellStart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xdc</w:t>
            </w:r>
            <w:proofErr w:type="spellEnd"/>
            <w:r w:rsidR="00FF0C08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、银河</w:t>
            </w:r>
            <w:r w:rsidR="00FF0C08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医药、广州泓阈私募证券投资</w:t>
            </w:r>
            <w:r w:rsidR="0047399F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</w:t>
            </w:r>
            <w:r w:rsidR="00A90124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超</w:t>
            </w:r>
            <w:r w:rsidR="00A90124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15</w:t>
            </w:r>
            <w:r w:rsidR="00127D6C" w:rsidRPr="00A90124">
              <w:rPr>
                <w:rFonts w:ascii="Times New Roman" w:eastAsia="宋体" w:hAnsi="Times New Roman" w:cs="Times New Roman"/>
                <w:sz w:val="24"/>
                <w:szCs w:val="24"/>
              </w:rPr>
              <w:t>0</w:t>
            </w:r>
            <w:r w:rsidR="00127D6C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家</w:t>
            </w:r>
            <w:r w:rsidR="0047399F" w:rsidRPr="00A9012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机构</w:t>
            </w:r>
          </w:p>
        </w:tc>
      </w:tr>
      <w:tr w:rsidR="00DE3CC2" w:rsidRPr="00403E64" w14:paraId="1BAF8D6E" w14:textId="77777777" w:rsidTr="003C3B67">
        <w:tc>
          <w:tcPr>
            <w:tcW w:w="1696" w:type="dxa"/>
            <w:vAlign w:val="center"/>
          </w:tcPr>
          <w:p w14:paraId="689E009A" w14:textId="77777777" w:rsidR="00DE3CC2" w:rsidRPr="00403E64" w:rsidRDefault="00DE3CC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lastRenderedPageBreak/>
              <w:t>时间</w:t>
            </w:r>
          </w:p>
        </w:tc>
        <w:tc>
          <w:tcPr>
            <w:tcW w:w="6600" w:type="dxa"/>
            <w:vAlign w:val="center"/>
          </w:tcPr>
          <w:p w14:paraId="108A10B4" w14:textId="6B734489" w:rsidR="00215647" w:rsidRPr="00FC0D3C" w:rsidRDefault="00A0222B" w:rsidP="00BA368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C0D3C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3707F1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A52C7C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873958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A52C7C">
              <w:rPr>
                <w:rFonts w:ascii="Times New Roman" w:eastAsia="宋体" w:hAnsi="Times New Roman" w:cs="Times New Roman"/>
                <w:sz w:val="24"/>
                <w:szCs w:val="24"/>
              </w:rPr>
              <w:t>8</w:t>
            </w:r>
            <w:r w:rsidR="0027709C" w:rsidRPr="00FC0D3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11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月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3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DE3CC2" w:rsidRPr="00403E64" w14:paraId="260358C0" w14:textId="77777777" w:rsidTr="003C3B67">
        <w:tc>
          <w:tcPr>
            <w:tcW w:w="1696" w:type="dxa"/>
            <w:vAlign w:val="center"/>
          </w:tcPr>
          <w:p w14:paraId="38D165BD" w14:textId="77777777" w:rsidR="00DE3CC2" w:rsidRPr="00403E64" w:rsidRDefault="00A56A36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地点</w:t>
            </w:r>
          </w:p>
        </w:tc>
        <w:tc>
          <w:tcPr>
            <w:tcW w:w="6600" w:type="dxa"/>
            <w:vAlign w:val="center"/>
          </w:tcPr>
          <w:p w14:paraId="5438E704" w14:textId="753710E4" w:rsidR="00DE3CC2" w:rsidRPr="00FC0D3C" w:rsidRDefault="008A6A0A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FC0D3C">
              <w:rPr>
                <w:rFonts w:ascii="宋体" w:eastAsia="宋体" w:hAnsi="宋体" w:hint="eastAsia"/>
                <w:sz w:val="24"/>
                <w:szCs w:val="24"/>
              </w:rPr>
              <w:t>线上电话会及公司会议室</w:t>
            </w:r>
          </w:p>
        </w:tc>
      </w:tr>
      <w:tr w:rsidR="00DE3CC2" w:rsidRPr="00403E64" w14:paraId="106635A0" w14:textId="77777777" w:rsidTr="003C3B67">
        <w:tc>
          <w:tcPr>
            <w:tcW w:w="1696" w:type="dxa"/>
            <w:vAlign w:val="center"/>
          </w:tcPr>
          <w:p w14:paraId="69707E7C" w14:textId="77777777" w:rsidR="00DE3CC2" w:rsidRPr="00403E64" w:rsidRDefault="000952B2" w:rsidP="00BA3687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t>接待人员</w:t>
            </w:r>
          </w:p>
        </w:tc>
        <w:tc>
          <w:tcPr>
            <w:tcW w:w="6600" w:type="dxa"/>
            <w:vAlign w:val="center"/>
          </w:tcPr>
          <w:p w14:paraId="61A441BA" w14:textId="53829C8B" w:rsidR="00D57E2B" w:rsidRPr="00FC0D3C" w:rsidRDefault="00513693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百利天恒</w:t>
            </w:r>
            <w:proofErr w:type="gramEnd"/>
            <w:r w:rsidR="00D57E2B" w:rsidRPr="00FC0D3C">
              <w:rPr>
                <w:rFonts w:ascii="宋体" w:eastAsia="宋体" w:hAnsi="宋体"/>
                <w:sz w:val="24"/>
                <w:szCs w:val="24"/>
              </w:rPr>
              <w:t>董事长、总经理、首席科学官：</w:t>
            </w:r>
            <w:r w:rsidR="00D57E2B" w:rsidRPr="00FC0D3C">
              <w:rPr>
                <w:rFonts w:ascii="宋体" w:eastAsia="宋体" w:hAnsi="宋体" w:hint="eastAsia"/>
                <w:sz w:val="24"/>
                <w:szCs w:val="24"/>
              </w:rPr>
              <w:t>朱义博士</w:t>
            </w:r>
          </w:p>
          <w:p w14:paraId="1D4A2536" w14:textId="2C588C6F" w:rsidR="00327DF7" w:rsidRDefault="00513693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百利天恒</w:t>
            </w:r>
            <w:proofErr w:type="gramEnd"/>
            <w:r w:rsidR="002A7D0B" w:rsidRPr="002A7D0B">
              <w:rPr>
                <w:rFonts w:ascii="宋体" w:eastAsia="宋体" w:hAnsi="宋体" w:hint="eastAsia"/>
                <w:sz w:val="24"/>
                <w:szCs w:val="24"/>
              </w:rPr>
              <w:t>董事、常务副</w:t>
            </w:r>
            <w:r w:rsidR="00CC3B86">
              <w:rPr>
                <w:rFonts w:ascii="宋体" w:eastAsia="宋体" w:hAnsi="宋体" w:hint="eastAsia"/>
                <w:sz w:val="24"/>
                <w:szCs w:val="24"/>
              </w:rPr>
              <w:t>总裁</w:t>
            </w:r>
            <w:r w:rsidR="002A7D0B" w:rsidRPr="002A7D0B">
              <w:rPr>
                <w:rFonts w:ascii="宋体" w:eastAsia="宋体" w:hAnsi="宋体" w:hint="eastAsia"/>
                <w:sz w:val="24"/>
                <w:szCs w:val="24"/>
              </w:rPr>
              <w:t>、财务</w:t>
            </w:r>
            <w:r w:rsidR="00CC3B86"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  <w:r w:rsidR="00274BDC" w:rsidRPr="00FC0D3C">
              <w:rPr>
                <w:rFonts w:ascii="宋体" w:eastAsia="宋体" w:hAnsi="宋体" w:hint="eastAsia"/>
                <w:sz w:val="24"/>
                <w:szCs w:val="24"/>
              </w:rPr>
              <w:t>：张苏娅女士</w:t>
            </w:r>
          </w:p>
          <w:p w14:paraId="44A2E89E" w14:textId="401937A0" w:rsidR="00A52C7C" w:rsidRDefault="00513693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百利天恒</w:t>
            </w:r>
            <w:proofErr w:type="gramEnd"/>
            <w:r w:rsidR="00A52C7C">
              <w:rPr>
                <w:rFonts w:ascii="宋体" w:eastAsia="宋体" w:hAnsi="宋体" w:hint="eastAsia"/>
                <w:sz w:val="24"/>
                <w:szCs w:val="24"/>
              </w:rPr>
              <w:t>董事、</w:t>
            </w:r>
            <w:proofErr w:type="spellStart"/>
            <w:r w:rsidR="00A52C7C" w:rsidRPr="005B250B">
              <w:rPr>
                <w:rFonts w:ascii="Times New Roman" w:eastAsia="宋体" w:hAnsi="Times New Roman" w:cs="Times New Roman"/>
                <w:sz w:val="24"/>
                <w:szCs w:val="24"/>
              </w:rPr>
              <w:t>Systlmmune</w:t>
            </w:r>
            <w:proofErr w:type="spellEnd"/>
            <w:r w:rsidR="00A52C7C" w:rsidRPr="00A52C7C">
              <w:rPr>
                <w:rFonts w:ascii="宋体" w:eastAsia="宋体" w:hAnsi="宋体"/>
                <w:sz w:val="24"/>
                <w:szCs w:val="24"/>
              </w:rPr>
              <w:t>首席技术数据官</w:t>
            </w:r>
            <w:r w:rsidR="00A52C7C">
              <w:rPr>
                <w:rFonts w:ascii="宋体" w:eastAsia="宋体" w:hAnsi="宋体" w:hint="eastAsia"/>
                <w:sz w:val="24"/>
                <w:szCs w:val="24"/>
              </w:rPr>
              <w:t>：朱海</w:t>
            </w:r>
            <w:r w:rsidR="00253F1F">
              <w:rPr>
                <w:rFonts w:ascii="宋体" w:eastAsia="宋体" w:hAnsi="宋体" w:hint="eastAsia"/>
                <w:sz w:val="24"/>
                <w:szCs w:val="24"/>
              </w:rPr>
              <w:t>博士</w:t>
            </w:r>
          </w:p>
          <w:p w14:paraId="7DAA7C0F" w14:textId="6EF0D37F" w:rsidR="003707F1" w:rsidRPr="00FC0D3C" w:rsidRDefault="00513693" w:rsidP="00BA3687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 w:val="24"/>
                <w:szCs w:val="24"/>
              </w:rPr>
              <w:t>百利天恒</w:t>
            </w:r>
            <w:proofErr w:type="gramEnd"/>
            <w:r w:rsidR="00DF0E78">
              <w:rPr>
                <w:rFonts w:ascii="宋体" w:eastAsia="宋体" w:hAnsi="宋体" w:hint="eastAsia"/>
                <w:sz w:val="24"/>
                <w:szCs w:val="24"/>
              </w:rPr>
              <w:t>董事会秘书：陈英格女士</w:t>
            </w:r>
          </w:p>
        </w:tc>
      </w:tr>
      <w:tr w:rsidR="00DE3CC2" w:rsidRPr="000D75C0" w14:paraId="5B693C2C" w14:textId="77777777" w:rsidTr="003C3B67">
        <w:tc>
          <w:tcPr>
            <w:tcW w:w="1696" w:type="dxa"/>
            <w:vAlign w:val="center"/>
          </w:tcPr>
          <w:p w14:paraId="3C23FD70" w14:textId="77777777" w:rsidR="00DE3CC2" w:rsidRPr="00B1423E" w:rsidRDefault="00A56A36" w:rsidP="00721F0E">
            <w:pPr>
              <w:jc w:val="center"/>
              <w:rPr>
                <w:rFonts w:ascii="Times New Roman" w:eastAsia="宋体" w:hAnsi="Times New Roman" w:cs="Times New Roman"/>
                <w:kern w:val="0"/>
                <w:sz w:val="22"/>
                <w:szCs w:val="22"/>
              </w:rPr>
            </w:pPr>
            <w:r w:rsidRPr="00B1423E">
              <w:rPr>
                <w:rFonts w:ascii="宋体" w:eastAsia="宋体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6600" w:type="dxa"/>
            <w:vAlign w:val="center"/>
          </w:tcPr>
          <w:p w14:paraId="7E56F373" w14:textId="5D47F935" w:rsidR="00FC0D3C" w:rsidRDefault="003C3B67" w:rsidP="00A92A2D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公司开展线上</w:t>
            </w:r>
            <w:r w:rsidR="00A52C7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电话会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，就</w:t>
            </w:r>
            <w:r w:rsid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202</w:t>
            </w:r>
            <w:r w:rsidR="00D8437F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="00A52C7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三季报情况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7A389C"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近期</w:t>
            </w:r>
            <w:r w:rsidRPr="005A159B">
              <w:rPr>
                <w:rFonts w:ascii="Times New Roman" w:eastAsia="宋体" w:hAnsi="Times New Roman" w:cs="Times New Roman"/>
                <w:sz w:val="24"/>
                <w:szCs w:val="24"/>
              </w:rPr>
              <w:t>业务进展及投资者主要关心的问题进行沟通。</w:t>
            </w:r>
          </w:p>
          <w:p w14:paraId="197FD047" w14:textId="77777777" w:rsidR="009C2161" w:rsidRDefault="009C2161" w:rsidP="00D36C7B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A31D4D6" w14:textId="71D0E799" w:rsidR="00A52C7C" w:rsidRDefault="009C2161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1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840006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近期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E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SMO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大会公司数据披露情况？</w:t>
            </w:r>
          </w:p>
          <w:p w14:paraId="343DC81D" w14:textId="68E94099" w:rsidR="009C2161" w:rsidRDefault="009C2161" w:rsidP="00D36C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本次</w:t>
            </w:r>
            <w:r w:rsidR="008400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proofErr w:type="spellStart"/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iza-bren</w:t>
            </w:r>
            <w:proofErr w:type="spellEnd"/>
            <w:r w:rsidR="002D03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(EGFR×HER3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双抗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ADC)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、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T-Bren</w:t>
            </w:r>
            <w:r w:rsidR="002D0306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(BL-M07D1)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共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项研究成果入选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2D0306">
              <w:rPr>
                <w:rFonts w:ascii="Times New Roman" w:eastAsia="宋体" w:hAnsi="Times New Roman" w:cs="Times New Roman"/>
                <w:sz w:val="24"/>
                <w:szCs w:val="24"/>
              </w:rPr>
              <w:t>025 ESMO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2D0306" w:rsidRP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全面覆盖鼻咽癌、肺癌、卵巢癌、乳腺癌及胃癌五大实体瘤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，展现良好的有效性和安全性数据</w:t>
            </w:r>
            <w:r w:rsidR="002D0306" w:rsidRP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其中，</w:t>
            </w:r>
            <w:proofErr w:type="spellStart"/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iza-bren</w:t>
            </w:r>
            <w:proofErr w:type="spellEnd"/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首个注册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III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期临床研究结果入选大会最高荣誉环节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——Late-breaking Abstract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LBA</w:t>
            </w:r>
            <w:r w:rsidR="002D0306" w:rsidRPr="002D0306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；</w:t>
            </w:r>
            <w:proofErr w:type="spellStart"/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iza</w:t>
            </w:r>
            <w:r w:rsidR="002D0306">
              <w:rPr>
                <w:rFonts w:ascii="Times New Roman" w:eastAsia="宋体" w:hAnsi="Times New Roman" w:cs="Times New Roman"/>
                <w:sz w:val="24"/>
                <w:szCs w:val="24"/>
              </w:rPr>
              <w:t>-bren</w:t>
            </w:r>
            <w:proofErr w:type="spellEnd"/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首次西方实体瘤研究结果入选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Oral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口头报告；</w:t>
            </w:r>
            <w:proofErr w:type="spellStart"/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iza</w:t>
            </w:r>
            <w:r w:rsidR="002D0306">
              <w:rPr>
                <w:rFonts w:ascii="Times New Roman" w:eastAsia="宋体" w:hAnsi="Times New Roman" w:cs="Times New Roman"/>
                <w:sz w:val="24"/>
                <w:szCs w:val="24"/>
              </w:rPr>
              <w:t>-bren</w:t>
            </w:r>
            <w:proofErr w:type="spellEnd"/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治疗复发性转移性卵巢癌、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2D0306">
              <w:rPr>
                <w:rFonts w:ascii="Times New Roman" w:eastAsia="宋体" w:hAnsi="Times New Roman" w:cs="Times New Roman"/>
                <w:sz w:val="24"/>
                <w:szCs w:val="24"/>
              </w:rPr>
              <w:t>-B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</w:t>
            </w:r>
            <w:r w:rsidR="002D0306"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="002D030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</w:t>
            </w:r>
            <w:r w:rsidR="00D70B9B" w:rsidRP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局部晚期或转移性乳腺癌</w:t>
            </w:r>
            <w:r w:rsid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D70B9B">
              <w:rPr>
                <w:rFonts w:ascii="Times New Roman" w:eastAsia="宋体" w:hAnsi="Times New Roman" w:cs="Times New Roman"/>
                <w:sz w:val="24"/>
                <w:szCs w:val="24"/>
              </w:rPr>
              <w:t>-B</w:t>
            </w:r>
            <w:r w:rsid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</w:t>
            </w:r>
            <w:r w:rsidR="00D70B9B"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治疗</w:t>
            </w:r>
            <w:r w:rsidR="00D70B9B" w:rsidRP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晚期胃癌或胃食管癌结合部腺癌</w:t>
            </w:r>
            <w:r w:rsid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临床研究结果均入选</w:t>
            </w:r>
            <w:r w:rsid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Poster</w:t>
            </w:r>
            <w:r w:rsidR="00D70B9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展示。</w:t>
            </w:r>
          </w:p>
          <w:p w14:paraId="53D14A80" w14:textId="77777777" w:rsidR="009C2161" w:rsidRPr="005B250B" w:rsidRDefault="009C2161" w:rsidP="00D36C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1AEE562F" w14:textId="1DB39365" w:rsidR="00D36C7B" w:rsidRPr="00F12A08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F12A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78511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2</w:t>
            </w:r>
            <w:r w:rsidR="00CE00AA" w:rsidRPr="00F12A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proofErr w:type="gramStart"/>
            <w:r w:rsidR="00A52C7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公司双抗</w:t>
            </w:r>
            <w:proofErr w:type="gramEnd"/>
            <w:r w:rsidR="00A52C7C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A</w:t>
            </w:r>
            <w:r w:rsidR="00A52C7C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DC</w:t>
            </w:r>
            <w:r w:rsidR="00D3591D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明年三期注册临床进展和数据情况</w:t>
            </w:r>
            <w:r w:rsidRPr="00F12A08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7781D003" w14:textId="6913ED95" w:rsidR="00FC13B3" w:rsidRDefault="00D36C7B" w:rsidP="00F12A0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F12A0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C13B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proofErr w:type="spellStart"/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iza</w:t>
            </w:r>
            <w:r w:rsidR="00D3591D">
              <w:rPr>
                <w:rFonts w:ascii="Times New Roman" w:eastAsia="宋体" w:hAnsi="Times New Roman" w:cs="Times New Roman"/>
                <w:sz w:val="24"/>
                <w:szCs w:val="24"/>
              </w:rPr>
              <w:t>-bren</w:t>
            </w:r>
            <w:proofErr w:type="spellEnd"/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</w:t>
            </w:r>
            <w:r w:rsidR="00D3591D">
              <w:rPr>
                <w:rFonts w:ascii="Times New Roman" w:eastAsia="宋体" w:hAnsi="Times New Roman" w:cs="Times New Roman"/>
                <w:sz w:val="24"/>
                <w:szCs w:val="24"/>
              </w:rPr>
              <w:t>GFR</w:t>
            </w:r>
            <w:r w:rsidR="00D3591D" w:rsidRPr="00EA36FF">
              <w:rPr>
                <w:rFonts w:eastAsia="宋体"/>
              </w:rPr>
              <w:t>×</w:t>
            </w:r>
            <w:r w:rsidR="00D3591D">
              <w:rPr>
                <w:rFonts w:ascii="Times New Roman" w:eastAsia="宋体" w:hAnsi="Times New Roman" w:cs="Times New Roman"/>
                <w:sz w:val="24"/>
                <w:szCs w:val="24"/>
              </w:rPr>
              <w:t>HER3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双抗</w:t>
            </w:r>
            <w:r w:rsidR="00D3591D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5A6D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目前已开</w:t>
            </w:r>
            <w:r w:rsidR="005A6D43" w:rsidRPr="00021E1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展</w:t>
            </w:r>
            <w:r w:rsidR="005A6D43" w:rsidRPr="00021E13">
              <w:rPr>
                <w:rFonts w:ascii="Times New Roman" w:eastAsia="宋体" w:hAnsi="Times New Roman" w:cs="Times New Roman"/>
                <w:sz w:val="24"/>
                <w:szCs w:val="24"/>
              </w:rPr>
              <w:t>11</w:t>
            </w:r>
            <w:r w:rsidR="005A6D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项国内三期临床试验</w:t>
            </w:r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第一批开展</w:t>
            </w:r>
            <w:r w:rsidR="005A6D4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7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D3591D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试验（</w:t>
            </w:r>
            <w:proofErr w:type="gramStart"/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末线</w:t>
            </w:r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lastRenderedPageBreak/>
              <w:t>鼻咽癌</w:t>
            </w:r>
            <w:proofErr w:type="gramEnd"/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、二线</w:t>
            </w:r>
            <w:r w:rsidR="00E80A4F" w:rsidRPr="005B250B">
              <w:rPr>
                <w:rFonts w:ascii="Times New Roman" w:eastAsia="宋体" w:hAnsi="Times New Roman" w:cs="Times New Roman"/>
                <w:sz w:val="24"/>
                <w:szCs w:val="24"/>
              </w:rPr>
              <w:t>EGFR</w:t>
            </w:r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突变非小细胞肺癌、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二线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</w:t>
            </w:r>
            <w:r w:rsidR="00E80A4F">
              <w:rPr>
                <w:rFonts w:ascii="Times New Roman" w:eastAsia="宋体" w:hAnsi="Times New Roman" w:cs="Times New Roman"/>
                <w:sz w:val="24"/>
                <w:szCs w:val="24"/>
              </w:rPr>
              <w:t>GFR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野生型非小细胞肺癌、小细胞肺癌、</w:t>
            </w:r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二线食管鳞癌、三线</w:t>
            </w:r>
            <w:r w:rsidR="00E80A4F" w:rsidRPr="005B250B">
              <w:rPr>
                <w:rFonts w:ascii="Times New Roman" w:eastAsia="宋体" w:hAnsi="Times New Roman" w:cs="Times New Roman"/>
                <w:sz w:val="24"/>
                <w:szCs w:val="24"/>
              </w:rPr>
              <w:t>+HR</w:t>
            </w:r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阳性</w:t>
            </w:r>
            <w:r w:rsidR="00E80A4F" w:rsidRPr="005B250B">
              <w:rPr>
                <w:rFonts w:ascii="Times New Roman" w:eastAsia="宋体" w:hAnsi="Times New Roman" w:cs="Times New Roman"/>
                <w:sz w:val="24"/>
                <w:szCs w:val="24"/>
              </w:rPr>
              <w:t>/HER2</w:t>
            </w:r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阴性乳腺癌、二线</w:t>
            </w:r>
            <w:r w:rsidR="00E80A4F" w:rsidRPr="005B250B">
              <w:rPr>
                <w:rFonts w:ascii="Times New Roman" w:eastAsia="宋体" w:hAnsi="Times New Roman" w:cs="Times New Roman"/>
                <w:sz w:val="24"/>
                <w:szCs w:val="24"/>
              </w:rPr>
              <w:t>+</w:t>
            </w:r>
            <w:r w:rsidR="00E80A4F" w:rsidRPr="005B250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三阴乳腺癌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中</w:t>
            </w:r>
            <w:r w:rsidR="00D3591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进展最快的</w:t>
            </w:r>
            <w:proofErr w:type="gramStart"/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是末线鼻咽癌</w:t>
            </w:r>
            <w:proofErr w:type="gramEnd"/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，目前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E80A4F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期临床的期中分析已达到主要研究终点，并于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E80A4F">
              <w:rPr>
                <w:rFonts w:ascii="Times New Roman" w:eastAsia="宋体" w:hAnsi="Times New Roman" w:cs="Times New Roman"/>
                <w:sz w:val="24"/>
                <w:szCs w:val="24"/>
              </w:rPr>
              <w:t>025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E</w:t>
            </w:r>
            <w:r w:rsidR="00E80A4F">
              <w:rPr>
                <w:rFonts w:ascii="Times New Roman" w:eastAsia="宋体" w:hAnsi="Times New Roman" w:cs="Times New Roman"/>
                <w:sz w:val="24"/>
                <w:szCs w:val="24"/>
              </w:rPr>
              <w:t>SMO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发布优异数据。另外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6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E80A4F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期临床试验，预计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E80A4F">
              <w:rPr>
                <w:rFonts w:ascii="Times New Roman" w:eastAsia="宋体" w:hAnsi="Times New Roman" w:cs="Times New Roman"/>
                <w:sz w:val="24"/>
                <w:szCs w:val="24"/>
              </w:rPr>
              <w:t>026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</w:t>
            </w:r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底前可陆续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达到研究终点，并有望</w:t>
            </w:r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在后续的学术大会中披露对应的</w:t>
            </w:r>
            <w:r w:rsidR="00E80A4F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临床数据</w:t>
            </w:r>
            <w:r w:rsid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实际</w:t>
            </w:r>
            <w:proofErr w:type="gramStart"/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进展请</w:t>
            </w:r>
            <w:proofErr w:type="gramEnd"/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投资人</w:t>
            </w:r>
            <w:r w:rsidR="00F34AAE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以公司</w:t>
            </w:r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相关</w:t>
            </w:r>
            <w:r w:rsidR="00F34AAE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公告</w:t>
            </w:r>
            <w:r w:rsidR="00573388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及公开信息</w:t>
            </w:r>
            <w:r w:rsidR="00F34AAE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为准。</w:t>
            </w:r>
          </w:p>
          <w:p w14:paraId="2BC67194" w14:textId="77777777" w:rsidR="00692600" w:rsidRDefault="00692600" w:rsidP="00F12A08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14:paraId="0C138B9E" w14:textId="29522647" w:rsidR="00F12A08" w:rsidRDefault="00692600" w:rsidP="00F12A0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5B250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78511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3</w:t>
            </w:r>
            <w:r w:rsidRPr="005B250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：公司</w:t>
            </w:r>
            <w:r w:rsidRPr="005B250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H</w:t>
            </w:r>
            <w:r w:rsidRPr="005B250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ER2 ADC</w:t>
            </w:r>
            <w:r w:rsidRPr="005B250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本次在</w:t>
            </w:r>
            <w:r w:rsidRPr="005B250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ESMO</w:t>
            </w:r>
            <w:r w:rsidRPr="005B250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也披露了非常多的优异数据，尤其是</w:t>
            </w:r>
            <w:r w:rsidRPr="005B250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HR</w:t>
            </w:r>
            <w:r w:rsidR="00303D0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阳性</w:t>
            </w:r>
            <w:r w:rsidRPr="005B250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乳腺癌，基于优异的数据，</w:t>
            </w:r>
            <w:r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未来海外的</w:t>
            </w:r>
            <w:r w:rsidRPr="005B250B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临床开发计划？</w:t>
            </w:r>
          </w:p>
          <w:p w14:paraId="2AF2FA55" w14:textId="715C57AF" w:rsidR="00475833" w:rsidRDefault="00692600" w:rsidP="00475833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0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本次公司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-B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ren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ER2 ADC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）公布在晚期乳腺癌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="00303D05">
              <w:rPr>
                <w:rFonts w:ascii="Times New Roman" w:eastAsia="宋体" w:hAnsi="Times New Roman" w:cs="Times New Roman"/>
                <w:sz w:val="24"/>
                <w:szCs w:val="24"/>
              </w:rPr>
              <w:t>ER2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阳性、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="00303D05">
              <w:rPr>
                <w:rFonts w:ascii="Times New Roman" w:eastAsia="宋体" w:hAnsi="Times New Roman" w:cs="Times New Roman"/>
                <w:sz w:val="24"/>
                <w:szCs w:val="24"/>
              </w:rPr>
              <w:t>R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阳性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 w:rsidR="00303D05">
              <w:rPr>
                <w:rFonts w:ascii="Times New Roman" w:eastAsia="宋体" w:hAnsi="Times New Roman" w:cs="Times New Roman"/>
                <w:sz w:val="24"/>
                <w:szCs w:val="24"/>
              </w:rPr>
              <w:t>ER2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阴性、三阴性乳腺癌）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H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ER2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阳性胃癌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的临床数据，展现良好的有效性和安全性，具有潜在同类最佳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（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Bes</w:t>
            </w:r>
            <w:r w:rsidR="00303D05">
              <w:rPr>
                <w:rFonts w:ascii="Times New Roman" w:eastAsia="宋体" w:hAnsi="Times New Roman" w:cs="Times New Roman"/>
                <w:sz w:val="24"/>
                <w:szCs w:val="24"/>
              </w:rPr>
              <w:t>t-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303D05">
              <w:rPr>
                <w:rFonts w:ascii="Times New Roman" w:eastAsia="宋体" w:hAnsi="Times New Roman" w:cs="Times New Roman"/>
                <w:sz w:val="24"/>
                <w:szCs w:val="24"/>
              </w:rPr>
              <w:t>n-C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lass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）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潜力。目前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475833">
              <w:rPr>
                <w:rFonts w:ascii="Times New Roman" w:eastAsia="宋体" w:hAnsi="Times New Roman" w:cs="Times New Roman"/>
                <w:sz w:val="24"/>
                <w:szCs w:val="24"/>
              </w:rPr>
              <w:t>-B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re</w:t>
            </w:r>
            <w:r w:rsidR="00475833">
              <w:rPr>
                <w:rFonts w:ascii="Times New Roman" w:eastAsia="宋体" w:hAnsi="Times New Roman" w:cs="Times New Roman"/>
                <w:sz w:val="24"/>
                <w:szCs w:val="24"/>
              </w:rPr>
              <w:t>n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正在国内开展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5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475833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期临床试验，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1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项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303D05">
              <w:rPr>
                <w:rFonts w:ascii="Times New Roman" w:eastAsia="宋体" w:hAnsi="Times New Roman" w:cs="Times New Roman"/>
                <w:sz w:val="24"/>
                <w:szCs w:val="24"/>
              </w:rPr>
              <w:t>I/III</w:t>
            </w:r>
            <w:r w:rsidR="00303D05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期临床试验，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II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期、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I/II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期及</w:t>
            </w:r>
            <w:r w:rsidR="00E572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2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个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I</w:t>
            </w:r>
            <w:r w:rsidR="00E5722C" w:rsidRPr="00E5722C">
              <w:rPr>
                <w:rFonts w:ascii="Times New Roman" w:eastAsia="宋体" w:hAnsi="Times New Roman" w:cs="Times New Roman"/>
                <w:sz w:val="24"/>
                <w:szCs w:val="24"/>
              </w:rPr>
              <w:t>期临床试验</w:t>
            </w:r>
            <w:r w:rsidR="00E5722C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同时也在美国进行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期临床桥接试验，公司计划后续开展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更多基于该产品的多适应症注册</w:t>
            </w:r>
            <w:r w:rsidR="0047583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临床试验，</w:t>
            </w:r>
            <w:r w:rsidR="00475833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</w:t>
            </w:r>
            <w:proofErr w:type="gramStart"/>
            <w:r w:rsidR="00475833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进展请</w:t>
            </w:r>
            <w:proofErr w:type="gramEnd"/>
            <w:r w:rsidR="00475833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以公司公告为准。</w:t>
            </w:r>
          </w:p>
          <w:p w14:paraId="11D2CDC9" w14:textId="77777777" w:rsidR="00692600" w:rsidRPr="00E5722C" w:rsidRDefault="00692600" w:rsidP="00F12A08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5824C4D4" w14:textId="4C4A10FF" w:rsidR="00DA50B7" w:rsidRDefault="00DA50B7" w:rsidP="00D36C7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78511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4</w:t>
            </w: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3405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0C1BE8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ARC</w:t>
            </w:r>
            <w:proofErr w:type="gramStart"/>
            <w:r w:rsidR="003405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核药的</w:t>
            </w:r>
            <w:proofErr w:type="gramEnd"/>
            <w:r w:rsidR="00F34AAE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目前进展</w:t>
            </w:r>
            <w:r w:rsidR="003405E5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和未来开发计划</w:t>
            </w:r>
            <w:r w:rsidRPr="00DA50B7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？</w:t>
            </w:r>
          </w:p>
          <w:p w14:paraId="2BEB1A84" w14:textId="5D5D18EC" w:rsidR="00F34AAE" w:rsidRDefault="00DA50B7" w:rsidP="00DA50B7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0B7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HIRE-ARC</w:t>
            </w:r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平台是公司开发的拥有完全自主知识产权的抗体</w:t>
            </w:r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-</w:t>
            </w:r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放射性核素偶联药物研发平台。该平台整合了抗体</w:t>
            </w:r>
            <w:proofErr w:type="gramStart"/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介</w:t>
            </w:r>
            <w:proofErr w:type="gramEnd"/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导的精准靶向递送技术及放射性核素强大的肿瘤杀伤能力。</w:t>
            </w:r>
            <w:r w:rsidR="00F34AAE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HIRE-ARC</w:t>
            </w:r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平台的首</w:t>
            </w:r>
            <w:proofErr w:type="gramStart"/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款药物</w:t>
            </w:r>
            <w:proofErr w:type="gramEnd"/>
            <w:r w:rsidR="00F34AAE" w:rsidRPr="00F34AAE">
              <w:rPr>
                <w:rFonts w:ascii="Times New Roman" w:eastAsia="宋体" w:hAnsi="Times New Roman" w:cs="Times New Roman"/>
                <w:sz w:val="24"/>
                <w:szCs w:val="24"/>
              </w:rPr>
              <w:t>BL-ARC001</w:t>
            </w:r>
            <w:r w:rsid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目前已获</w:t>
            </w:r>
            <w:proofErr w:type="gramStart"/>
            <w:r w:rsid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批开展</w:t>
            </w:r>
            <w:proofErr w:type="gramEnd"/>
            <w:r w:rsid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临床试验，针对于广谱的实体瘤，后续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会根据临床研究开展的相关规定</w:t>
            </w:r>
            <w:r w:rsid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进行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I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期</w:t>
            </w:r>
            <w:r w:rsid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的剂量爬坡和剂量拓展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等研究</w:t>
            </w:r>
            <w:r w:rsid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欢迎投资者持续关注该产品研发进展，公司会在对应阶段持续履行公告义务。</w:t>
            </w:r>
          </w:p>
          <w:p w14:paraId="04435AE8" w14:textId="77777777" w:rsidR="005B250B" w:rsidRPr="005B250B" w:rsidRDefault="005B250B" w:rsidP="005B250B">
            <w:pPr>
              <w:spacing w:line="360" w:lineRule="auto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  <w:p w14:paraId="38DE1A8B" w14:textId="39D57802" w:rsidR="00D36C7B" w:rsidRPr="00D36C7B" w:rsidRDefault="00D36C7B" w:rsidP="00D36C7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问</w:t>
            </w:r>
            <w:r w:rsidR="004D33DB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5</w:t>
            </w:r>
            <w:r w:rsidR="00CE00AA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：</w:t>
            </w:r>
            <w:r w:rsidR="008660BF" w:rsidRPr="008660BF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公司</w:t>
            </w:r>
            <w:r w:rsidR="0051369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对</w:t>
            </w:r>
            <w:r w:rsidR="00AD565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不同研发平台</w:t>
            </w:r>
            <w:r w:rsidR="0051369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间</w:t>
            </w:r>
            <w:r w:rsidR="00AD5659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的</w:t>
            </w:r>
            <w:r w:rsidR="00513693">
              <w:rPr>
                <w:rFonts w:ascii="Times New Roman" w:eastAsia="宋体" w:hAnsi="Times New Roman" w:cs="Times New Roman" w:hint="eastAsia"/>
                <w:b/>
                <w:sz w:val="24"/>
                <w:szCs w:val="24"/>
              </w:rPr>
              <w:t>联合用药的看法</w:t>
            </w:r>
            <w:r w:rsidRPr="00CE00AA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？</w:t>
            </w:r>
          </w:p>
          <w:p w14:paraId="2C7B6369" w14:textId="4D69B965" w:rsidR="000B0205" w:rsidRDefault="00D36C7B" w:rsidP="00D70B9B">
            <w:pPr>
              <w:spacing w:line="360" w:lineRule="auto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36C7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答：</w:t>
            </w:r>
            <w:r w:rsidR="001724B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公司</w:t>
            </w:r>
            <w:r w:rsidR="00AD56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已开发</w:t>
            </w:r>
            <w:r w:rsidR="00AD5659" w:rsidRPr="00AD56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全球领先创新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ADC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药物研发平台（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HIRE-ADC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平台）、全球领先创新多特异性抗体药物研发平台（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GNC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平台）</w:t>
            </w:r>
            <w:r w:rsidR="00AD56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AD5659" w:rsidRPr="00AD56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创新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ARC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（核药）研发平台（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HIRE-ARC</w:t>
            </w:r>
            <w:r w:rsidR="00AD5659" w:rsidRPr="00AD5659">
              <w:rPr>
                <w:rFonts w:ascii="Times New Roman" w:eastAsia="宋体" w:hAnsi="Times New Roman" w:cs="Times New Roman"/>
                <w:sz w:val="24"/>
                <w:szCs w:val="24"/>
              </w:rPr>
              <w:t>平台）</w:t>
            </w:r>
            <w:r w:rsidR="00AD565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从作用机制上来说，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2C4184">
              <w:rPr>
                <w:rFonts w:ascii="Times New Roman" w:eastAsia="宋体" w:hAnsi="Times New Roman" w:cs="Times New Roman"/>
                <w:sz w:val="24"/>
                <w:szCs w:val="24"/>
              </w:rPr>
              <w:t>DC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和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A</w:t>
            </w:r>
            <w:r w:rsidR="002C4184">
              <w:rPr>
                <w:rFonts w:ascii="Times New Roman" w:eastAsia="宋体" w:hAnsi="Times New Roman" w:cs="Times New Roman"/>
                <w:sz w:val="24"/>
                <w:szCs w:val="24"/>
              </w:rPr>
              <w:t>RC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平台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有潜力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通过大规模杀伤肿瘤细胞，迅速降低肿瘤负荷；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G</w:t>
            </w:r>
            <w:r w:rsidR="002C4184">
              <w:rPr>
                <w:rFonts w:ascii="Times New Roman" w:eastAsia="宋体" w:hAnsi="Times New Roman" w:cs="Times New Roman"/>
                <w:sz w:val="24"/>
                <w:szCs w:val="24"/>
              </w:rPr>
              <w:t>NC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平台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有潜力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通过靶点免疫，激活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T</w:t>
            </w:r>
            <w:r w:rsidR="002C4184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细胞，全身性追踪清除肿瘤。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未来，有望</w:t>
            </w:r>
            <w:r w:rsidR="005136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通过三大技术平台产品间的联合用药，实现更优异的肿瘤治疗</w:t>
            </w:r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，公司会在联用领域</w:t>
            </w:r>
            <w:proofErr w:type="gramStart"/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做相关</w:t>
            </w:r>
            <w:proofErr w:type="gramEnd"/>
            <w:r w:rsidR="004D33DB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探索，</w:t>
            </w:r>
            <w:r w:rsidR="004D33DB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具体</w:t>
            </w:r>
            <w:proofErr w:type="gramStart"/>
            <w:r w:rsidR="004D33DB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进展请</w:t>
            </w:r>
            <w:proofErr w:type="gramEnd"/>
            <w:r w:rsidR="004D33DB" w:rsidRPr="00F34AAE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以公司公告为准</w:t>
            </w:r>
            <w:r w:rsidR="00513693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。</w:t>
            </w:r>
          </w:p>
          <w:p w14:paraId="31927A43" w14:textId="75B7EFE7" w:rsidR="00D70B9B" w:rsidRPr="00C91AEE" w:rsidRDefault="00D70B9B" w:rsidP="005B250B">
            <w:pPr>
              <w:spacing w:line="360" w:lineRule="auto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E3CC2" w14:paraId="29524ACC" w14:textId="77777777" w:rsidTr="003C3B67">
        <w:tc>
          <w:tcPr>
            <w:tcW w:w="1696" w:type="dxa"/>
            <w:vAlign w:val="center"/>
          </w:tcPr>
          <w:p w14:paraId="6F364A09" w14:textId="77777777" w:rsidR="00DE3CC2" w:rsidRPr="00403E64" w:rsidRDefault="00A56A36" w:rsidP="00DE3CC2">
            <w:pPr>
              <w:rPr>
                <w:rFonts w:ascii="宋体" w:eastAsia="宋体" w:hAnsi="宋体"/>
                <w:b/>
                <w:sz w:val="24"/>
              </w:rPr>
            </w:pPr>
            <w:r w:rsidRPr="00403E64">
              <w:rPr>
                <w:rFonts w:ascii="宋体" w:eastAsia="宋体" w:hAnsi="宋体" w:hint="eastAsia"/>
                <w:b/>
                <w:sz w:val="24"/>
              </w:rPr>
              <w:lastRenderedPageBreak/>
              <w:t>附件清单（如有）</w:t>
            </w:r>
          </w:p>
        </w:tc>
        <w:tc>
          <w:tcPr>
            <w:tcW w:w="6600" w:type="dxa"/>
            <w:vAlign w:val="center"/>
          </w:tcPr>
          <w:p w14:paraId="10C3243F" w14:textId="77777777" w:rsidR="00DE3CC2" w:rsidRDefault="00304CD5" w:rsidP="00DE3CC2">
            <w:pPr>
              <w:rPr>
                <w:rFonts w:ascii="宋体" w:eastAsia="宋体" w:hAnsi="宋体"/>
                <w:sz w:val="24"/>
              </w:rPr>
            </w:pPr>
            <w:r w:rsidRPr="00403E64">
              <w:rPr>
                <w:rFonts w:ascii="宋体" w:eastAsia="宋体" w:hAnsi="宋体" w:hint="eastAsia"/>
                <w:sz w:val="24"/>
              </w:rPr>
              <w:t>无</w:t>
            </w:r>
          </w:p>
        </w:tc>
      </w:tr>
    </w:tbl>
    <w:p w14:paraId="41D0B266" w14:textId="77777777" w:rsidR="00DE3CC2" w:rsidRPr="00DC406F" w:rsidRDefault="00DE3CC2" w:rsidP="00DE3CC2">
      <w:pPr>
        <w:rPr>
          <w:rFonts w:ascii="宋体" w:eastAsia="宋体" w:hAnsi="宋体"/>
          <w:sz w:val="24"/>
        </w:rPr>
      </w:pPr>
    </w:p>
    <w:sectPr w:rsidR="00DE3CC2" w:rsidRPr="00DC406F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9A3B2" w14:textId="77777777" w:rsidR="00347502" w:rsidRDefault="00347502" w:rsidP="00DC406F">
      <w:r>
        <w:separator/>
      </w:r>
    </w:p>
  </w:endnote>
  <w:endnote w:type="continuationSeparator" w:id="0">
    <w:p w14:paraId="5B93BAEB" w14:textId="77777777" w:rsidR="00347502" w:rsidRDefault="00347502" w:rsidP="00DC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302C1" w14:textId="1B6374ED" w:rsidR="006E1435" w:rsidRDefault="006E1435" w:rsidP="00BD0055">
    <w:pPr>
      <w:pStyle w:val="a9"/>
    </w:pPr>
  </w:p>
  <w:p w14:paraId="244D6B6D" w14:textId="77777777" w:rsidR="006E1435" w:rsidRDefault="006E143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4ACB4" w14:textId="77777777" w:rsidR="00347502" w:rsidRDefault="00347502" w:rsidP="00DC406F">
      <w:r>
        <w:separator/>
      </w:r>
    </w:p>
  </w:footnote>
  <w:footnote w:type="continuationSeparator" w:id="0">
    <w:p w14:paraId="4EAD56D2" w14:textId="77777777" w:rsidR="00347502" w:rsidRDefault="00347502" w:rsidP="00DC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886"/>
    <w:multiLevelType w:val="hybridMultilevel"/>
    <w:tmpl w:val="4DC4DC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2E63841"/>
    <w:multiLevelType w:val="hybridMultilevel"/>
    <w:tmpl w:val="89A8778C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1E2CC6"/>
    <w:multiLevelType w:val="multilevel"/>
    <w:tmpl w:val="1EBA5072"/>
    <w:lvl w:ilvl="0">
      <w:start w:val="1"/>
      <w:numFmt w:val="chineseCountingThousand"/>
      <w:lvlRestart w:val="0"/>
      <w:pStyle w:val="1"/>
      <w:suff w:val="nothing"/>
      <w:lvlText w:val="第%1节"/>
      <w:lvlJc w:val="left"/>
      <w:pPr>
        <w:ind w:left="0" w:firstLine="0"/>
      </w:pPr>
      <w:rPr>
        <w:rFonts w:ascii="黑体" w:eastAsia="黑体" w:hAnsi="黑体" w:hint="eastAsia"/>
        <w:b w:val="0"/>
        <w:i w:val="0"/>
        <w:sz w:val="32"/>
      </w:rPr>
    </w:lvl>
    <w:lvl w:ilvl="1">
      <w:start w:val="1"/>
      <w:numFmt w:val="koreanDigital2"/>
      <w:pStyle w:val="2"/>
      <w:suff w:val="nothing"/>
      <w:lvlText w:val="%2、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8"/>
      </w:rPr>
    </w:lvl>
    <w:lvl w:ilvl="2">
      <w:start w:val="1"/>
      <w:numFmt w:val="koreanDigital2"/>
      <w:pStyle w:val="3"/>
      <w:suff w:val="nothing"/>
      <w:lvlText w:val="（%3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suff w:val="nothing"/>
      <w:lvlText w:val="%4、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pStyle w:val="5"/>
      <w:suff w:val="nothing"/>
      <w:lvlText w:val="（%5）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suff w:val="nothing"/>
      <w:lvlText w:val="%6）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u w:val="none"/>
        <w:em w:val="none"/>
      </w:rPr>
    </w:lvl>
    <w:lvl w:ilvl="6">
      <w:start w:val="1"/>
      <w:numFmt w:val="decimalEnclosedCircle"/>
      <w:pStyle w:val="7"/>
      <w:suff w:val="nothing"/>
      <w:lvlText w:val="%7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  <w:sz w:val="24"/>
        <w:lang w:val="en-US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5A8322EC"/>
    <w:multiLevelType w:val="hybridMultilevel"/>
    <w:tmpl w:val="EE108F66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47460C5"/>
    <w:multiLevelType w:val="hybridMultilevel"/>
    <w:tmpl w:val="1EE21598"/>
    <w:lvl w:ilvl="0" w:tplc="370E7B86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SwNLQwtDCxtDQyNLJQ0lEKTi0uzszPAykwrAUAtDr4sSwAAAA="/>
  </w:docVars>
  <w:rsids>
    <w:rsidRoot w:val="00E751E7"/>
    <w:rsid w:val="00003434"/>
    <w:rsid w:val="000065F9"/>
    <w:rsid w:val="000131B7"/>
    <w:rsid w:val="00021E13"/>
    <w:rsid w:val="000230C0"/>
    <w:rsid w:val="0003264C"/>
    <w:rsid w:val="00033A75"/>
    <w:rsid w:val="000341C1"/>
    <w:rsid w:val="00054F44"/>
    <w:rsid w:val="000618E2"/>
    <w:rsid w:val="00063393"/>
    <w:rsid w:val="00067D75"/>
    <w:rsid w:val="00075701"/>
    <w:rsid w:val="00080FC6"/>
    <w:rsid w:val="00083303"/>
    <w:rsid w:val="00085F1D"/>
    <w:rsid w:val="00087737"/>
    <w:rsid w:val="0009004F"/>
    <w:rsid w:val="000907EB"/>
    <w:rsid w:val="00090F3B"/>
    <w:rsid w:val="000937C3"/>
    <w:rsid w:val="000952B2"/>
    <w:rsid w:val="0009564A"/>
    <w:rsid w:val="00097CD6"/>
    <w:rsid w:val="000B0205"/>
    <w:rsid w:val="000B2249"/>
    <w:rsid w:val="000B5B0E"/>
    <w:rsid w:val="000C1BE8"/>
    <w:rsid w:val="000C304D"/>
    <w:rsid w:val="000C5D05"/>
    <w:rsid w:val="000D3DA8"/>
    <w:rsid w:val="000D3E35"/>
    <w:rsid w:val="000D75C0"/>
    <w:rsid w:val="000E162A"/>
    <w:rsid w:val="000E3217"/>
    <w:rsid w:val="000E69EE"/>
    <w:rsid w:val="000F02B2"/>
    <w:rsid w:val="000F4CA4"/>
    <w:rsid w:val="000F50D6"/>
    <w:rsid w:val="000F6238"/>
    <w:rsid w:val="00101943"/>
    <w:rsid w:val="001029AC"/>
    <w:rsid w:val="00107E26"/>
    <w:rsid w:val="0011203D"/>
    <w:rsid w:val="0011388D"/>
    <w:rsid w:val="0012083D"/>
    <w:rsid w:val="001225BA"/>
    <w:rsid w:val="00122B68"/>
    <w:rsid w:val="00127D6C"/>
    <w:rsid w:val="00137016"/>
    <w:rsid w:val="00154B33"/>
    <w:rsid w:val="001724B9"/>
    <w:rsid w:val="001728E4"/>
    <w:rsid w:val="00183101"/>
    <w:rsid w:val="00183260"/>
    <w:rsid w:val="00190096"/>
    <w:rsid w:val="0019033C"/>
    <w:rsid w:val="00194E78"/>
    <w:rsid w:val="001971CE"/>
    <w:rsid w:val="001A7949"/>
    <w:rsid w:val="001B1ADB"/>
    <w:rsid w:val="001B1F79"/>
    <w:rsid w:val="001B4C43"/>
    <w:rsid w:val="001B72DE"/>
    <w:rsid w:val="001C4194"/>
    <w:rsid w:val="001D40E5"/>
    <w:rsid w:val="001D6AAD"/>
    <w:rsid w:val="001E1133"/>
    <w:rsid w:val="001E35BC"/>
    <w:rsid w:val="001E7911"/>
    <w:rsid w:val="001F50DE"/>
    <w:rsid w:val="001F7400"/>
    <w:rsid w:val="001F7743"/>
    <w:rsid w:val="00215647"/>
    <w:rsid w:val="00221BF8"/>
    <w:rsid w:val="00231AE4"/>
    <w:rsid w:val="00231CDE"/>
    <w:rsid w:val="002331DD"/>
    <w:rsid w:val="00236DA9"/>
    <w:rsid w:val="002375C8"/>
    <w:rsid w:val="002379A3"/>
    <w:rsid w:val="002401EC"/>
    <w:rsid w:val="002422E1"/>
    <w:rsid w:val="002439A3"/>
    <w:rsid w:val="00251AAA"/>
    <w:rsid w:val="00252422"/>
    <w:rsid w:val="00253F1F"/>
    <w:rsid w:val="002734FB"/>
    <w:rsid w:val="00274A55"/>
    <w:rsid w:val="00274BDC"/>
    <w:rsid w:val="0027709C"/>
    <w:rsid w:val="002854A8"/>
    <w:rsid w:val="00285C71"/>
    <w:rsid w:val="002A5B18"/>
    <w:rsid w:val="002A7D0B"/>
    <w:rsid w:val="002B422D"/>
    <w:rsid w:val="002C136E"/>
    <w:rsid w:val="002C4184"/>
    <w:rsid w:val="002D0306"/>
    <w:rsid w:val="002D048B"/>
    <w:rsid w:val="002D656A"/>
    <w:rsid w:val="002E2CC5"/>
    <w:rsid w:val="002E36D4"/>
    <w:rsid w:val="002E5221"/>
    <w:rsid w:val="002E5BCC"/>
    <w:rsid w:val="002F5348"/>
    <w:rsid w:val="002F63FD"/>
    <w:rsid w:val="002F682C"/>
    <w:rsid w:val="00301862"/>
    <w:rsid w:val="00303D05"/>
    <w:rsid w:val="00304CD5"/>
    <w:rsid w:val="00312D13"/>
    <w:rsid w:val="00320C8A"/>
    <w:rsid w:val="0032184A"/>
    <w:rsid w:val="00324264"/>
    <w:rsid w:val="00327DF7"/>
    <w:rsid w:val="003327B7"/>
    <w:rsid w:val="003328AB"/>
    <w:rsid w:val="00335352"/>
    <w:rsid w:val="003354F0"/>
    <w:rsid w:val="00336724"/>
    <w:rsid w:val="00336ED0"/>
    <w:rsid w:val="003374B8"/>
    <w:rsid w:val="00337BC2"/>
    <w:rsid w:val="003405E5"/>
    <w:rsid w:val="00340BB5"/>
    <w:rsid w:val="00347502"/>
    <w:rsid w:val="00354937"/>
    <w:rsid w:val="00354C25"/>
    <w:rsid w:val="00360FB9"/>
    <w:rsid w:val="00365042"/>
    <w:rsid w:val="003707F1"/>
    <w:rsid w:val="00377478"/>
    <w:rsid w:val="00395043"/>
    <w:rsid w:val="00397141"/>
    <w:rsid w:val="003B4CB8"/>
    <w:rsid w:val="003B6DBD"/>
    <w:rsid w:val="003B7B5C"/>
    <w:rsid w:val="003C1592"/>
    <w:rsid w:val="003C3B67"/>
    <w:rsid w:val="003C3EA4"/>
    <w:rsid w:val="003C41BB"/>
    <w:rsid w:val="003E2E84"/>
    <w:rsid w:val="00403E64"/>
    <w:rsid w:val="0040444D"/>
    <w:rsid w:val="00411769"/>
    <w:rsid w:val="00413D15"/>
    <w:rsid w:val="004216FE"/>
    <w:rsid w:val="00425EAF"/>
    <w:rsid w:val="00444A81"/>
    <w:rsid w:val="0046409D"/>
    <w:rsid w:val="00470946"/>
    <w:rsid w:val="00472FB0"/>
    <w:rsid w:val="0047399F"/>
    <w:rsid w:val="00473AB6"/>
    <w:rsid w:val="00475833"/>
    <w:rsid w:val="00477148"/>
    <w:rsid w:val="004825F6"/>
    <w:rsid w:val="00483D7A"/>
    <w:rsid w:val="00486334"/>
    <w:rsid w:val="00486784"/>
    <w:rsid w:val="004868C2"/>
    <w:rsid w:val="004911F5"/>
    <w:rsid w:val="00491973"/>
    <w:rsid w:val="00491EF7"/>
    <w:rsid w:val="004A09A3"/>
    <w:rsid w:val="004A18DD"/>
    <w:rsid w:val="004A6240"/>
    <w:rsid w:val="004B1074"/>
    <w:rsid w:val="004B10F8"/>
    <w:rsid w:val="004B3CE9"/>
    <w:rsid w:val="004B4590"/>
    <w:rsid w:val="004C7C33"/>
    <w:rsid w:val="004D02C2"/>
    <w:rsid w:val="004D06BC"/>
    <w:rsid w:val="004D33DB"/>
    <w:rsid w:val="004D3C8C"/>
    <w:rsid w:val="004D77BC"/>
    <w:rsid w:val="004E341B"/>
    <w:rsid w:val="004E59CD"/>
    <w:rsid w:val="004F168C"/>
    <w:rsid w:val="004F3C2B"/>
    <w:rsid w:val="005024B0"/>
    <w:rsid w:val="00504968"/>
    <w:rsid w:val="00513693"/>
    <w:rsid w:val="00517C4E"/>
    <w:rsid w:val="005235DA"/>
    <w:rsid w:val="0052493B"/>
    <w:rsid w:val="0053052B"/>
    <w:rsid w:val="00545771"/>
    <w:rsid w:val="0054578D"/>
    <w:rsid w:val="0054649F"/>
    <w:rsid w:val="0054701A"/>
    <w:rsid w:val="00553895"/>
    <w:rsid w:val="00556977"/>
    <w:rsid w:val="00562575"/>
    <w:rsid w:val="00563E69"/>
    <w:rsid w:val="00564E75"/>
    <w:rsid w:val="00567D3D"/>
    <w:rsid w:val="00571E66"/>
    <w:rsid w:val="00573388"/>
    <w:rsid w:val="005819E2"/>
    <w:rsid w:val="005869FB"/>
    <w:rsid w:val="0058763C"/>
    <w:rsid w:val="005A0525"/>
    <w:rsid w:val="005A159B"/>
    <w:rsid w:val="005A19B3"/>
    <w:rsid w:val="005A62AC"/>
    <w:rsid w:val="005A6D43"/>
    <w:rsid w:val="005B00AC"/>
    <w:rsid w:val="005B250B"/>
    <w:rsid w:val="005B4951"/>
    <w:rsid w:val="005B4B33"/>
    <w:rsid w:val="005D31DE"/>
    <w:rsid w:val="005D6889"/>
    <w:rsid w:val="005F61FD"/>
    <w:rsid w:val="00604029"/>
    <w:rsid w:val="00604046"/>
    <w:rsid w:val="00605B57"/>
    <w:rsid w:val="00611FC6"/>
    <w:rsid w:val="00614719"/>
    <w:rsid w:val="00615A93"/>
    <w:rsid w:val="00617068"/>
    <w:rsid w:val="0062072C"/>
    <w:rsid w:val="00622917"/>
    <w:rsid w:val="006243DC"/>
    <w:rsid w:val="00625CE1"/>
    <w:rsid w:val="00626283"/>
    <w:rsid w:val="00633F98"/>
    <w:rsid w:val="006341B5"/>
    <w:rsid w:val="00635DDF"/>
    <w:rsid w:val="006362BB"/>
    <w:rsid w:val="0064021B"/>
    <w:rsid w:val="00642DF7"/>
    <w:rsid w:val="0064707C"/>
    <w:rsid w:val="0065141F"/>
    <w:rsid w:val="0065360D"/>
    <w:rsid w:val="00660992"/>
    <w:rsid w:val="00661A81"/>
    <w:rsid w:val="0066290F"/>
    <w:rsid w:val="0066339A"/>
    <w:rsid w:val="0066622D"/>
    <w:rsid w:val="00666534"/>
    <w:rsid w:val="00666D94"/>
    <w:rsid w:val="00671B7E"/>
    <w:rsid w:val="006774A4"/>
    <w:rsid w:val="00686612"/>
    <w:rsid w:val="006902D8"/>
    <w:rsid w:val="006920E8"/>
    <w:rsid w:val="00692600"/>
    <w:rsid w:val="006930BA"/>
    <w:rsid w:val="006A4902"/>
    <w:rsid w:val="006A613B"/>
    <w:rsid w:val="006B1B35"/>
    <w:rsid w:val="006B265B"/>
    <w:rsid w:val="006C2861"/>
    <w:rsid w:val="006C4A12"/>
    <w:rsid w:val="006D1CAE"/>
    <w:rsid w:val="006D23BE"/>
    <w:rsid w:val="006D353F"/>
    <w:rsid w:val="006D3E92"/>
    <w:rsid w:val="006D41F9"/>
    <w:rsid w:val="006E1435"/>
    <w:rsid w:val="006E2886"/>
    <w:rsid w:val="006E68FB"/>
    <w:rsid w:val="006E6AD7"/>
    <w:rsid w:val="006F3487"/>
    <w:rsid w:val="0070355E"/>
    <w:rsid w:val="0071251B"/>
    <w:rsid w:val="00717627"/>
    <w:rsid w:val="00717F44"/>
    <w:rsid w:val="00721F0E"/>
    <w:rsid w:val="00734BE6"/>
    <w:rsid w:val="007352ED"/>
    <w:rsid w:val="0074459E"/>
    <w:rsid w:val="00754EB9"/>
    <w:rsid w:val="0076144B"/>
    <w:rsid w:val="007650DC"/>
    <w:rsid w:val="007705DD"/>
    <w:rsid w:val="00772C12"/>
    <w:rsid w:val="00785119"/>
    <w:rsid w:val="00790BE0"/>
    <w:rsid w:val="00796353"/>
    <w:rsid w:val="00797315"/>
    <w:rsid w:val="007A389C"/>
    <w:rsid w:val="007A7679"/>
    <w:rsid w:val="007B1AF3"/>
    <w:rsid w:val="007B4F64"/>
    <w:rsid w:val="007B629E"/>
    <w:rsid w:val="007C0302"/>
    <w:rsid w:val="007C0840"/>
    <w:rsid w:val="007C2A87"/>
    <w:rsid w:val="007C404A"/>
    <w:rsid w:val="007C76B1"/>
    <w:rsid w:val="007D16B7"/>
    <w:rsid w:val="007D2ACA"/>
    <w:rsid w:val="007E1548"/>
    <w:rsid w:val="007E2E61"/>
    <w:rsid w:val="007E3A88"/>
    <w:rsid w:val="007F210F"/>
    <w:rsid w:val="007F57CF"/>
    <w:rsid w:val="008000EF"/>
    <w:rsid w:val="008019A9"/>
    <w:rsid w:val="008030ED"/>
    <w:rsid w:val="008031BF"/>
    <w:rsid w:val="0081308D"/>
    <w:rsid w:val="008233F3"/>
    <w:rsid w:val="0082376C"/>
    <w:rsid w:val="00835100"/>
    <w:rsid w:val="008351DB"/>
    <w:rsid w:val="00840006"/>
    <w:rsid w:val="008561E7"/>
    <w:rsid w:val="00857888"/>
    <w:rsid w:val="008660BF"/>
    <w:rsid w:val="00873958"/>
    <w:rsid w:val="0087755E"/>
    <w:rsid w:val="0088215C"/>
    <w:rsid w:val="00882EA6"/>
    <w:rsid w:val="008860C7"/>
    <w:rsid w:val="00886785"/>
    <w:rsid w:val="0088791B"/>
    <w:rsid w:val="00890117"/>
    <w:rsid w:val="008943F0"/>
    <w:rsid w:val="0089516D"/>
    <w:rsid w:val="00895D94"/>
    <w:rsid w:val="008963C1"/>
    <w:rsid w:val="008A321A"/>
    <w:rsid w:val="008A3499"/>
    <w:rsid w:val="008A5E9C"/>
    <w:rsid w:val="008A6A0A"/>
    <w:rsid w:val="008B0323"/>
    <w:rsid w:val="008C2B56"/>
    <w:rsid w:val="008C4712"/>
    <w:rsid w:val="008C75D5"/>
    <w:rsid w:val="008D2251"/>
    <w:rsid w:val="008D297B"/>
    <w:rsid w:val="008D4D5A"/>
    <w:rsid w:val="008E2567"/>
    <w:rsid w:val="008E4294"/>
    <w:rsid w:val="008E7AC0"/>
    <w:rsid w:val="008F3FA4"/>
    <w:rsid w:val="008F592D"/>
    <w:rsid w:val="008F67D2"/>
    <w:rsid w:val="008F764B"/>
    <w:rsid w:val="00900680"/>
    <w:rsid w:val="0090595B"/>
    <w:rsid w:val="00915A5F"/>
    <w:rsid w:val="00915CD3"/>
    <w:rsid w:val="0093046D"/>
    <w:rsid w:val="00930A11"/>
    <w:rsid w:val="00930FE4"/>
    <w:rsid w:val="00934D41"/>
    <w:rsid w:val="00935AC8"/>
    <w:rsid w:val="009404A4"/>
    <w:rsid w:val="00945682"/>
    <w:rsid w:val="0094572B"/>
    <w:rsid w:val="00947008"/>
    <w:rsid w:val="009534CB"/>
    <w:rsid w:val="0097004B"/>
    <w:rsid w:val="009727CE"/>
    <w:rsid w:val="0097288B"/>
    <w:rsid w:val="009979A0"/>
    <w:rsid w:val="009A2650"/>
    <w:rsid w:val="009A69C4"/>
    <w:rsid w:val="009B4BF1"/>
    <w:rsid w:val="009B50BE"/>
    <w:rsid w:val="009C1D32"/>
    <w:rsid w:val="009C2161"/>
    <w:rsid w:val="009E56BC"/>
    <w:rsid w:val="009E6159"/>
    <w:rsid w:val="009E7FF4"/>
    <w:rsid w:val="009F35EC"/>
    <w:rsid w:val="00A0222B"/>
    <w:rsid w:val="00A0229E"/>
    <w:rsid w:val="00A05ACF"/>
    <w:rsid w:val="00A110FA"/>
    <w:rsid w:val="00A17FFE"/>
    <w:rsid w:val="00A20F00"/>
    <w:rsid w:val="00A21285"/>
    <w:rsid w:val="00A21B70"/>
    <w:rsid w:val="00A2305E"/>
    <w:rsid w:val="00A247CA"/>
    <w:rsid w:val="00A3142C"/>
    <w:rsid w:val="00A31B7D"/>
    <w:rsid w:val="00A36504"/>
    <w:rsid w:val="00A44F9D"/>
    <w:rsid w:val="00A507A1"/>
    <w:rsid w:val="00A50E26"/>
    <w:rsid w:val="00A50E4A"/>
    <w:rsid w:val="00A52C7C"/>
    <w:rsid w:val="00A559EA"/>
    <w:rsid w:val="00A56A36"/>
    <w:rsid w:val="00A57954"/>
    <w:rsid w:val="00A613CD"/>
    <w:rsid w:val="00A614EF"/>
    <w:rsid w:val="00A62758"/>
    <w:rsid w:val="00A73878"/>
    <w:rsid w:val="00A82735"/>
    <w:rsid w:val="00A83AE2"/>
    <w:rsid w:val="00A845D3"/>
    <w:rsid w:val="00A87DF2"/>
    <w:rsid w:val="00A90124"/>
    <w:rsid w:val="00A92A2D"/>
    <w:rsid w:val="00A942AA"/>
    <w:rsid w:val="00AA0507"/>
    <w:rsid w:val="00AA571E"/>
    <w:rsid w:val="00AA6B48"/>
    <w:rsid w:val="00AB2B6D"/>
    <w:rsid w:val="00AB4175"/>
    <w:rsid w:val="00AC6663"/>
    <w:rsid w:val="00AC6D45"/>
    <w:rsid w:val="00AC7233"/>
    <w:rsid w:val="00AD0821"/>
    <w:rsid w:val="00AD5659"/>
    <w:rsid w:val="00AE0833"/>
    <w:rsid w:val="00AE17BB"/>
    <w:rsid w:val="00AE27F1"/>
    <w:rsid w:val="00AE77C6"/>
    <w:rsid w:val="00AF003B"/>
    <w:rsid w:val="00AF0962"/>
    <w:rsid w:val="00AF1230"/>
    <w:rsid w:val="00AF1F9A"/>
    <w:rsid w:val="00AF2045"/>
    <w:rsid w:val="00AF68B2"/>
    <w:rsid w:val="00B00FCC"/>
    <w:rsid w:val="00B04F8F"/>
    <w:rsid w:val="00B052BA"/>
    <w:rsid w:val="00B07FC9"/>
    <w:rsid w:val="00B11088"/>
    <w:rsid w:val="00B1423E"/>
    <w:rsid w:val="00B14F85"/>
    <w:rsid w:val="00B16710"/>
    <w:rsid w:val="00B16DFD"/>
    <w:rsid w:val="00B21B23"/>
    <w:rsid w:val="00B249F9"/>
    <w:rsid w:val="00B24BB5"/>
    <w:rsid w:val="00B254C9"/>
    <w:rsid w:val="00B332CB"/>
    <w:rsid w:val="00B45C73"/>
    <w:rsid w:val="00B50027"/>
    <w:rsid w:val="00B507E3"/>
    <w:rsid w:val="00B50A21"/>
    <w:rsid w:val="00B510E9"/>
    <w:rsid w:val="00B56F8A"/>
    <w:rsid w:val="00B63C6A"/>
    <w:rsid w:val="00B6607B"/>
    <w:rsid w:val="00B8305E"/>
    <w:rsid w:val="00B92CD3"/>
    <w:rsid w:val="00B93380"/>
    <w:rsid w:val="00BA1761"/>
    <w:rsid w:val="00BA3687"/>
    <w:rsid w:val="00BA3CAD"/>
    <w:rsid w:val="00BC54B5"/>
    <w:rsid w:val="00BC6416"/>
    <w:rsid w:val="00BC6605"/>
    <w:rsid w:val="00BC7551"/>
    <w:rsid w:val="00BC7A83"/>
    <w:rsid w:val="00BD0055"/>
    <w:rsid w:val="00BD428D"/>
    <w:rsid w:val="00BE25CC"/>
    <w:rsid w:val="00BE452B"/>
    <w:rsid w:val="00C07BB2"/>
    <w:rsid w:val="00C1198B"/>
    <w:rsid w:val="00C12DA1"/>
    <w:rsid w:val="00C12E5A"/>
    <w:rsid w:val="00C17932"/>
    <w:rsid w:val="00C235D3"/>
    <w:rsid w:val="00C24173"/>
    <w:rsid w:val="00C2643B"/>
    <w:rsid w:val="00C265C5"/>
    <w:rsid w:val="00C27268"/>
    <w:rsid w:val="00C27E2D"/>
    <w:rsid w:val="00C30691"/>
    <w:rsid w:val="00C32B4F"/>
    <w:rsid w:val="00C4515D"/>
    <w:rsid w:val="00C45E14"/>
    <w:rsid w:val="00C52E9F"/>
    <w:rsid w:val="00C64BEA"/>
    <w:rsid w:val="00C71EA7"/>
    <w:rsid w:val="00C72BDB"/>
    <w:rsid w:val="00C8245F"/>
    <w:rsid w:val="00C82C91"/>
    <w:rsid w:val="00C867BB"/>
    <w:rsid w:val="00C86D02"/>
    <w:rsid w:val="00C87612"/>
    <w:rsid w:val="00C9091B"/>
    <w:rsid w:val="00C91AEE"/>
    <w:rsid w:val="00C92D71"/>
    <w:rsid w:val="00C946B5"/>
    <w:rsid w:val="00C97EBD"/>
    <w:rsid w:val="00C97F12"/>
    <w:rsid w:val="00CB2187"/>
    <w:rsid w:val="00CB78AC"/>
    <w:rsid w:val="00CC3B86"/>
    <w:rsid w:val="00CC6225"/>
    <w:rsid w:val="00CD5238"/>
    <w:rsid w:val="00CE00AA"/>
    <w:rsid w:val="00CF0598"/>
    <w:rsid w:val="00D023A6"/>
    <w:rsid w:val="00D0340A"/>
    <w:rsid w:val="00D06E08"/>
    <w:rsid w:val="00D11D93"/>
    <w:rsid w:val="00D1369D"/>
    <w:rsid w:val="00D14E44"/>
    <w:rsid w:val="00D204A7"/>
    <w:rsid w:val="00D265C9"/>
    <w:rsid w:val="00D3591D"/>
    <w:rsid w:val="00D36C7B"/>
    <w:rsid w:val="00D40919"/>
    <w:rsid w:val="00D51450"/>
    <w:rsid w:val="00D55615"/>
    <w:rsid w:val="00D57E2B"/>
    <w:rsid w:val="00D6279E"/>
    <w:rsid w:val="00D66ACC"/>
    <w:rsid w:val="00D70276"/>
    <w:rsid w:val="00D70B9B"/>
    <w:rsid w:val="00D8437F"/>
    <w:rsid w:val="00D8452C"/>
    <w:rsid w:val="00D8764D"/>
    <w:rsid w:val="00D90094"/>
    <w:rsid w:val="00D90C3C"/>
    <w:rsid w:val="00D93379"/>
    <w:rsid w:val="00DA0CEA"/>
    <w:rsid w:val="00DA50B7"/>
    <w:rsid w:val="00DA5E0A"/>
    <w:rsid w:val="00DA69BF"/>
    <w:rsid w:val="00DB5D43"/>
    <w:rsid w:val="00DB7D30"/>
    <w:rsid w:val="00DC3F37"/>
    <w:rsid w:val="00DC406F"/>
    <w:rsid w:val="00DC5D00"/>
    <w:rsid w:val="00DD20AF"/>
    <w:rsid w:val="00DD4620"/>
    <w:rsid w:val="00DD5D12"/>
    <w:rsid w:val="00DD5DCA"/>
    <w:rsid w:val="00DE0193"/>
    <w:rsid w:val="00DE0D9A"/>
    <w:rsid w:val="00DE2511"/>
    <w:rsid w:val="00DE3CC2"/>
    <w:rsid w:val="00DE3CE0"/>
    <w:rsid w:val="00DE4FA0"/>
    <w:rsid w:val="00DE63FA"/>
    <w:rsid w:val="00DF03C5"/>
    <w:rsid w:val="00DF0E78"/>
    <w:rsid w:val="00DF33B8"/>
    <w:rsid w:val="00E03FC1"/>
    <w:rsid w:val="00E115F0"/>
    <w:rsid w:val="00E11C7B"/>
    <w:rsid w:val="00E11E9E"/>
    <w:rsid w:val="00E16CB0"/>
    <w:rsid w:val="00E206C1"/>
    <w:rsid w:val="00E24450"/>
    <w:rsid w:val="00E26633"/>
    <w:rsid w:val="00E3283D"/>
    <w:rsid w:val="00E33E41"/>
    <w:rsid w:val="00E34768"/>
    <w:rsid w:val="00E44BAB"/>
    <w:rsid w:val="00E5722C"/>
    <w:rsid w:val="00E57F78"/>
    <w:rsid w:val="00E67A88"/>
    <w:rsid w:val="00E74AC8"/>
    <w:rsid w:val="00E751E7"/>
    <w:rsid w:val="00E80272"/>
    <w:rsid w:val="00E80A4F"/>
    <w:rsid w:val="00E81888"/>
    <w:rsid w:val="00E822EF"/>
    <w:rsid w:val="00E85E66"/>
    <w:rsid w:val="00E927FC"/>
    <w:rsid w:val="00E9403A"/>
    <w:rsid w:val="00E95A95"/>
    <w:rsid w:val="00EA07C1"/>
    <w:rsid w:val="00EA14F1"/>
    <w:rsid w:val="00EA4BAE"/>
    <w:rsid w:val="00EA50AD"/>
    <w:rsid w:val="00EA5272"/>
    <w:rsid w:val="00EB289F"/>
    <w:rsid w:val="00EB5E94"/>
    <w:rsid w:val="00EB74DB"/>
    <w:rsid w:val="00EE387C"/>
    <w:rsid w:val="00EE7BEA"/>
    <w:rsid w:val="00EF7797"/>
    <w:rsid w:val="00EF7BBA"/>
    <w:rsid w:val="00F02386"/>
    <w:rsid w:val="00F03CE5"/>
    <w:rsid w:val="00F044CB"/>
    <w:rsid w:val="00F05EF2"/>
    <w:rsid w:val="00F104EB"/>
    <w:rsid w:val="00F12A08"/>
    <w:rsid w:val="00F1454F"/>
    <w:rsid w:val="00F15B6C"/>
    <w:rsid w:val="00F175A7"/>
    <w:rsid w:val="00F22152"/>
    <w:rsid w:val="00F32AE7"/>
    <w:rsid w:val="00F34AAE"/>
    <w:rsid w:val="00F35C66"/>
    <w:rsid w:val="00F40668"/>
    <w:rsid w:val="00F41C34"/>
    <w:rsid w:val="00F43582"/>
    <w:rsid w:val="00F43821"/>
    <w:rsid w:val="00F43981"/>
    <w:rsid w:val="00F47E1C"/>
    <w:rsid w:val="00F574D8"/>
    <w:rsid w:val="00F662B2"/>
    <w:rsid w:val="00F86B10"/>
    <w:rsid w:val="00F86B3D"/>
    <w:rsid w:val="00F913E0"/>
    <w:rsid w:val="00F92F71"/>
    <w:rsid w:val="00FA05D4"/>
    <w:rsid w:val="00FA05D5"/>
    <w:rsid w:val="00FA2C23"/>
    <w:rsid w:val="00FA36D7"/>
    <w:rsid w:val="00FB0530"/>
    <w:rsid w:val="00FC0D3C"/>
    <w:rsid w:val="00FC13B3"/>
    <w:rsid w:val="00FC2D02"/>
    <w:rsid w:val="00FD1E36"/>
    <w:rsid w:val="00FD4D86"/>
    <w:rsid w:val="00FD5BAF"/>
    <w:rsid w:val="00FD6153"/>
    <w:rsid w:val="00FD666B"/>
    <w:rsid w:val="00FE3A01"/>
    <w:rsid w:val="00FF0A93"/>
    <w:rsid w:val="00FF0C08"/>
    <w:rsid w:val="00FF3540"/>
    <w:rsid w:val="00FF6771"/>
    <w:rsid w:val="00FF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E6DCC"/>
  <w15:docId w15:val="{2B5A52F9-5CDD-47E1-8509-9F2C9AEFD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2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83D"/>
    <w:pPr>
      <w:widowControl w:val="0"/>
      <w:jc w:val="both"/>
    </w:pPr>
  </w:style>
  <w:style w:type="paragraph" w:styleId="1">
    <w:name w:val="heading 1"/>
    <w:next w:val="a0"/>
    <w:link w:val="10"/>
    <w:autoRedefine/>
    <w:uiPriority w:val="1"/>
    <w:qFormat/>
    <w:rsid w:val="00D0340A"/>
    <w:pPr>
      <w:keepNext/>
      <w:keepLines/>
      <w:pageBreakBefore/>
      <w:numPr>
        <w:numId w:val="2"/>
      </w:numPr>
      <w:spacing w:beforeLines="50" w:before="50" w:afterLines="50" w:after="50" w:line="360" w:lineRule="auto"/>
      <w:jc w:val="center"/>
      <w:outlineLvl w:val="0"/>
    </w:pPr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2">
    <w:name w:val="heading 2"/>
    <w:next w:val="a0"/>
    <w:link w:val="20"/>
    <w:autoRedefine/>
    <w:uiPriority w:val="1"/>
    <w:qFormat/>
    <w:rsid w:val="00D0340A"/>
    <w:pPr>
      <w:keepNext/>
      <w:keepLines/>
      <w:numPr>
        <w:ilvl w:val="1"/>
        <w:numId w:val="2"/>
      </w:numPr>
      <w:spacing w:beforeLines="50" w:before="50" w:afterLines="50" w:after="50" w:line="360" w:lineRule="auto"/>
      <w:jc w:val="both"/>
      <w:outlineLvl w:val="1"/>
    </w:pPr>
    <w:rPr>
      <w:rFonts w:ascii="Times New Roman" w:eastAsia="黑体" w:hAnsi="Times New Roman" w:cs="Times New Roman"/>
      <w:bCs/>
      <w:sz w:val="28"/>
      <w:szCs w:val="32"/>
    </w:rPr>
  </w:style>
  <w:style w:type="paragraph" w:styleId="3">
    <w:name w:val="heading 3"/>
    <w:next w:val="a0"/>
    <w:link w:val="30"/>
    <w:autoRedefine/>
    <w:uiPriority w:val="1"/>
    <w:qFormat/>
    <w:rsid w:val="00D0340A"/>
    <w:pPr>
      <w:keepNext/>
      <w:keepLines/>
      <w:numPr>
        <w:ilvl w:val="2"/>
        <w:numId w:val="2"/>
      </w:numPr>
      <w:snapToGrid w:val="0"/>
      <w:spacing w:beforeLines="50" w:before="50" w:afterLines="50" w:after="50" w:line="360" w:lineRule="auto"/>
      <w:jc w:val="both"/>
      <w:outlineLvl w:val="2"/>
    </w:pPr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paragraph" w:styleId="4">
    <w:name w:val="heading 4"/>
    <w:next w:val="a0"/>
    <w:link w:val="40"/>
    <w:autoRedefine/>
    <w:uiPriority w:val="1"/>
    <w:qFormat/>
    <w:rsid w:val="00D0340A"/>
    <w:pPr>
      <w:keepNext/>
      <w:keepLines/>
      <w:numPr>
        <w:ilvl w:val="3"/>
        <w:numId w:val="2"/>
      </w:numPr>
      <w:spacing w:beforeLines="50" w:before="50" w:afterLines="50" w:after="50" w:line="360" w:lineRule="auto"/>
      <w:jc w:val="both"/>
      <w:outlineLvl w:val="3"/>
    </w:pPr>
    <w:rPr>
      <w:rFonts w:ascii="Times New Roman" w:eastAsia="宋体" w:hAnsi="Times New Roman" w:cs="Times New Roman"/>
      <w:b/>
      <w:bCs/>
      <w:sz w:val="24"/>
      <w:szCs w:val="28"/>
    </w:rPr>
  </w:style>
  <w:style w:type="paragraph" w:styleId="5">
    <w:name w:val="heading 5"/>
    <w:next w:val="a0"/>
    <w:link w:val="50"/>
    <w:autoRedefine/>
    <w:uiPriority w:val="1"/>
    <w:qFormat/>
    <w:rsid w:val="00D0340A"/>
    <w:pPr>
      <w:keepNext/>
      <w:keepLines/>
      <w:numPr>
        <w:ilvl w:val="4"/>
        <w:numId w:val="2"/>
      </w:numPr>
      <w:spacing w:beforeLines="50" w:before="50" w:afterLines="50" w:after="50" w:line="360" w:lineRule="auto"/>
      <w:outlineLvl w:val="4"/>
    </w:pPr>
    <w:rPr>
      <w:rFonts w:ascii="Times New Roman" w:eastAsia="宋体" w:hAnsi="Times New Roman" w:cs="Times New Roman"/>
      <w:bCs/>
      <w:sz w:val="24"/>
      <w:szCs w:val="28"/>
    </w:rPr>
  </w:style>
  <w:style w:type="paragraph" w:styleId="6">
    <w:name w:val="heading 6"/>
    <w:next w:val="a0"/>
    <w:link w:val="60"/>
    <w:autoRedefine/>
    <w:uiPriority w:val="1"/>
    <w:qFormat/>
    <w:rsid w:val="00D0340A"/>
    <w:pPr>
      <w:numPr>
        <w:ilvl w:val="5"/>
        <w:numId w:val="1"/>
      </w:numPr>
      <w:spacing w:beforeLines="50" w:before="50" w:afterLines="50" w:after="50" w:line="360" w:lineRule="auto"/>
      <w:ind w:firstLineChars="200" w:firstLine="200"/>
      <w:jc w:val="both"/>
      <w:outlineLvl w:val="5"/>
    </w:pPr>
    <w:rPr>
      <w:rFonts w:ascii="Times New Roman" w:eastAsia="宋体" w:hAnsi="Times New Roman" w:cs="Times New Roman"/>
      <w:bCs/>
      <w:sz w:val="24"/>
      <w:szCs w:val="24"/>
    </w:rPr>
  </w:style>
  <w:style w:type="paragraph" w:styleId="7">
    <w:name w:val="heading 7"/>
    <w:next w:val="a0"/>
    <w:link w:val="70"/>
    <w:autoRedefine/>
    <w:uiPriority w:val="2"/>
    <w:unhideWhenUsed/>
    <w:qFormat/>
    <w:rsid w:val="00D0340A"/>
    <w:pPr>
      <w:keepNext/>
      <w:keepLines/>
      <w:numPr>
        <w:ilvl w:val="6"/>
        <w:numId w:val="2"/>
      </w:numPr>
      <w:spacing w:beforeLines="50" w:before="50" w:afterLines="50" w:after="50" w:line="360" w:lineRule="auto"/>
      <w:outlineLvl w:val="6"/>
    </w:pPr>
    <w:rPr>
      <w:rFonts w:ascii="Times New Roman" w:eastAsia="宋体" w:hAnsi="Times New Roman" w:cs="Times New Roman"/>
      <w:b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basedOn w:val="a1"/>
    <w:link w:val="1"/>
    <w:uiPriority w:val="1"/>
    <w:rsid w:val="00E3283D"/>
    <w:rPr>
      <w:rFonts w:ascii="Times New Roman" w:eastAsia="黑体" w:hAnsi="Times New Roman" w:cs="Times New Roman"/>
      <w:bCs/>
      <w:kern w:val="0"/>
      <w:sz w:val="32"/>
      <w:szCs w:val="44"/>
    </w:rPr>
  </w:style>
  <w:style w:type="paragraph" w:styleId="a0">
    <w:name w:val="Normal Indent"/>
    <w:autoRedefine/>
    <w:qFormat/>
    <w:rsid w:val="00003434"/>
    <w:pPr>
      <w:spacing w:beforeLines="50" w:before="50"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3"/>
    </w:rPr>
  </w:style>
  <w:style w:type="character" w:customStyle="1" w:styleId="20">
    <w:name w:val="标题 2 字符"/>
    <w:basedOn w:val="a1"/>
    <w:link w:val="2"/>
    <w:uiPriority w:val="1"/>
    <w:rsid w:val="00DC5D00"/>
    <w:rPr>
      <w:rFonts w:ascii="Times New Roman" w:eastAsia="黑体" w:hAnsi="Times New Roman" w:cs="Times New Roman"/>
      <w:bCs/>
      <w:sz w:val="28"/>
      <w:szCs w:val="32"/>
    </w:rPr>
  </w:style>
  <w:style w:type="character" w:customStyle="1" w:styleId="30">
    <w:name w:val="标题 3 字符"/>
    <w:basedOn w:val="a1"/>
    <w:link w:val="3"/>
    <w:uiPriority w:val="1"/>
    <w:rsid w:val="00DC5D00"/>
    <w:rPr>
      <w:rFonts w:ascii="Times New Roman" w:eastAsia="黑体" w:hAnsi="Times New Roman" w:cs="Times New Roman"/>
      <w:bCs/>
      <w:color w:val="000000"/>
      <w:kern w:val="0"/>
      <w:sz w:val="24"/>
      <w:szCs w:val="24"/>
      <w:lang w:eastAsia="ar-SA"/>
    </w:rPr>
  </w:style>
  <w:style w:type="character" w:customStyle="1" w:styleId="40">
    <w:name w:val="标题 4 字符"/>
    <w:basedOn w:val="a1"/>
    <w:link w:val="4"/>
    <w:uiPriority w:val="1"/>
    <w:rsid w:val="00DC5D00"/>
    <w:rPr>
      <w:rFonts w:ascii="Times New Roman" w:eastAsia="宋体" w:hAnsi="Times New Roman" w:cs="Times New Roman"/>
      <w:b/>
      <w:bCs/>
      <w:sz w:val="24"/>
      <w:szCs w:val="28"/>
    </w:rPr>
  </w:style>
  <w:style w:type="character" w:customStyle="1" w:styleId="50">
    <w:name w:val="标题 5 字符"/>
    <w:basedOn w:val="a1"/>
    <w:link w:val="5"/>
    <w:uiPriority w:val="1"/>
    <w:rsid w:val="00252422"/>
    <w:rPr>
      <w:rFonts w:ascii="Times New Roman" w:eastAsia="宋体" w:hAnsi="Times New Roman" w:cs="Times New Roman"/>
      <w:bCs/>
      <w:sz w:val="24"/>
      <w:szCs w:val="28"/>
    </w:rPr>
  </w:style>
  <w:style w:type="character" w:customStyle="1" w:styleId="60">
    <w:name w:val="标题 6 字符"/>
    <w:basedOn w:val="a1"/>
    <w:link w:val="6"/>
    <w:uiPriority w:val="1"/>
    <w:rsid w:val="00D0340A"/>
    <w:rPr>
      <w:rFonts w:ascii="Times New Roman" w:eastAsia="宋体" w:hAnsi="Times New Roman" w:cs="Times New Roman"/>
      <w:bCs/>
      <w:sz w:val="24"/>
      <w:szCs w:val="24"/>
    </w:rPr>
  </w:style>
  <w:style w:type="character" w:customStyle="1" w:styleId="70">
    <w:name w:val="标题 7 字符"/>
    <w:basedOn w:val="a1"/>
    <w:link w:val="7"/>
    <w:uiPriority w:val="2"/>
    <w:rsid w:val="008E4294"/>
    <w:rPr>
      <w:rFonts w:ascii="Times New Roman" w:eastAsia="宋体" w:hAnsi="Times New Roman" w:cs="Times New Roman"/>
      <w:bCs/>
      <w:sz w:val="24"/>
      <w:szCs w:val="24"/>
    </w:rPr>
  </w:style>
  <w:style w:type="paragraph" w:customStyle="1" w:styleId="a4">
    <w:name w:val="表格后说明"/>
    <w:next w:val="a0"/>
    <w:autoRedefine/>
    <w:uiPriority w:val="3"/>
    <w:qFormat/>
    <w:rsid w:val="00F03CE5"/>
    <w:pPr>
      <w:jc w:val="both"/>
    </w:pPr>
    <w:rPr>
      <w:rFonts w:ascii="Times New Roman" w:eastAsia="宋体" w:hAnsi="Times New Roman" w:cs="Times New Roman"/>
      <w:szCs w:val="24"/>
    </w:rPr>
  </w:style>
  <w:style w:type="paragraph" w:customStyle="1" w:styleId="a5">
    <w:name w:val="表格前单位"/>
    <w:next w:val="a0"/>
    <w:autoRedefine/>
    <w:uiPriority w:val="2"/>
    <w:qFormat/>
    <w:rsid w:val="00F03CE5"/>
    <w:pPr>
      <w:keepNext/>
      <w:jc w:val="right"/>
    </w:pPr>
    <w:rPr>
      <w:rFonts w:ascii="Times New Roman" w:eastAsia="宋体" w:hAnsi="Times New Roman" w:cs="Times New Roman"/>
      <w:szCs w:val="24"/>
    </w:rPr>
  </w:style>
  <w:style w:type="table" w:customStyle="1" w:styleId="a6">
    <w:name w:val="报告表格"/>
    <w:basedOn w:val="a2"/>
    <w:uiPriority w:val="99"/>
    <w:rsid w:val="00F22152"/>
    <w:rPr>
      <w:rFonts w:ascii="Times New Roman" w:eastAsia="宋体" w:hAnsi="Times New Roman"/>
      <w:sz w:val="18"/>
    </w:rPr>
    <w:tblPr/>
  </w:style>
  <w:style w:type="paragraph" w:styleId="a7">
    <w:name w:val="header"/>
    <w:basedOn w:val="a"/>
    <w:link w:val="a8"/>
    <w:uiPriority w:val="99"/>
    <w:unhideWhenUsed/>
    <w:rsid w:val="00DC40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1"/>
    <w:link w:val="a7"/>
    <w:uiPriority w:val="99"/>
    <w:rsid w:val="00DC406F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C40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1"/>
    <w:link w:val="a9"/>
    <w:uiPriority w:val="99"/>
    <w:rsid w:val="00DC406F"/>
    <w:rPr>
      <w:sz w:val="18"/>
      <w:szCs w:val="18"/>
    </w:rPr>
  </w:style>
  <w:style w:type="table" w:styleId="ab">
    <w:name w:val="Table Grid"/>
    <w:basedOn w:val="a2"/>
    <w:uiPriority w:val="39"/>
    <w:rsid w:val="00DE3C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E3CC2"/>
    <w:rPr>
      <w:sz w:val="18"/>
      <w:szCs w:val="18"/>
    </w:rPr>
  </w:style>
  <w:style w:type="character" w:customStyle="1" w:styleId="ad">
    <w:name w:val="批注框文本 字符"/>
    <w:basedOn w:val="a1"/>
    <w:link w:val="ac"/>
    <w:uiPriority w:val="99"/>
    <w:semiHidden/>
    <w:rsid w:val="00DE3CC2"/>
    <w:rPr>
      <w:sz w:val="18"/>
      <w:szCs w:val="18"/>
    </w:rPr>
  </w:style>
  <w:style w:type="paragraph" w:styleId="ae">
    <w:name w:val="List Paragraph"/>
    <w:basedOn w:val="a"/>
    <w:uiPriority w:val="34"/>
    <w:qFormat/>
    <w:rsid w:val="005B00AC"/>
    <w:pPr>
      <w:ind w:firstLineChars="200" w:firstLine="420"/>
    </w:pPr>
  </w:style>
  <w:style w:type="character" w:styleId="af">
    <w:name w:val="annotation reference"/>
    <w:basedOn w:val="a1"/>
    <w:uiPriority w:val="99"/>
    <w:semiHidden/>
    <w:unhideWhenUsed/>
    <w:rsid w:val="001A7949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1A7949"/>
    <w:pPr>
      <w:jc w:val="left"/>
    </w:pPr>
  </w:style>
  <w:style w:type="character" w:customStyle="1" w:styleId="af1">
    <w:name w:val="批注文字 字符"/>
    <w:basedOn w:val="a1"/>
    <w:link w:val="af0"/>
    <w:uiPriority w:val="99"/>
    <w:rsid w:val="001A7949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225BA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1225BA"/>
    <w:rPr>
      <w:b/>
      <w:bCs/>
    </w:rPr>
  </w:style>
  <w:style w:type="paragraph" w:styleId="af4">
    <w:name w:val="Revision"/>
    <w:hidden/>
    <w:uiPriority w:val="99"/>
    <w:semiHidden/>
    <w:rsid w:val="00274A55"/>
  </w:style>
  <w:style w:type="character" w:customStyle="1" w:styleId="markedcontent">
    <w:name w:val="markedcontent"/>
    <w:basedOn w:val="a1"/>
    <w:rsid w:val="0070355E"/>
  </w:style>
  <w:style w:type="character" w:customStyle="1" w:styleId="fontstyle01">
    <w:name w:val="fontstyle01"/>
    <w:basedOn w:val="a1"/>
    <w:rsid w:val="00B332CB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1"/>
    <w:rsid w:val="00B332C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a1"/>
    <w:rsid w:val="00AE77C6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6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F50A7-DFFE-43A4-B970-BACC93F9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495</Words>
  <Characters>2824</Characters>
  <Application>Microsoft Office Word</Application>
  <DocSecurity>0</DocSecurity>
  <Lines>23</Lines>
  <Paragraphs>6</Paragraphs>
  <ScaleCrop>false</ScaleCrop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赵泽坤</dc:creator>
  <cp:lastModifiedBy>liusipeng</cp:lastModifiedBy>
  <cp:revision>2</cp:revision>
  <cp:lastPrinted>2023-02-17T10:00:00Z</cp:lastPrinted>
  <dcterms:created xsi:type="dcterms:W3CDTF">2025-11-05T01:36:00Z</dcterms:created>
  <dcterms:modified xsi:type="dcterms:W3CDTF">2025-11-05T01:36:00Z</dcterms:modified>
</cp:coreProperties>
</file>