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24AAD">
      <w:pPr>
        <w:rPr>
          <w:bCs/>
          <w:sz w:val="24"/>
        </w:rPr>
      </w:pPr>
      <w:r>
        <w:rPr>
          <w:bCs/>
          <w:sz w:val="24"/>
        </w:rPr>
        <w:t>公司代码：688160                                  公司简称：步科股份</w:t>
      </w:r>
    </w:p>
    <w:p w14:paraId="30178566"/>
    <w:p w14:paraId="11655686"/>
    <w:p w14:paraId="77B51C8E"/>
    <w:p w14:paraId="7A157788"/>
    <w:p w14:paraId="249797AA"/>
    <w:p w14:paraId="66A226F4"/>
    <w:p w14:paraId="75BD4271">
      <w:pPr>
        <w:autoSpaceDE w:val="0"/>
        <w:autoSpaceDN w:val="0"/>
        <w:adjustRightInd w:val="0"/>
        <w:spacing w:before="156" w:beforeLines="50" w:after="156" w:afterLines="50"/>
        <w:jc w:val="center"/>
        <w:rPr>
          <w:rFonts w:eastAsia="黑体"/>
          <w:color w:val="000000"/>
          <w:kern w:val="0"/>
          <w:sz w:val="48"/>
          <w:szCs w:val="48"/>
        </w:rPr>
      </w:pPr>
      <w:r>
        <w:rPr>
          <w:rFonts w:eastAsia="黑体"/>
          <w:color w:val="000000"/>
          <w:kern w:val="0"/>
          <w:sz w:val="48"/>
          <w:szCs w:val="48"/>
        </w:rPr>
        <w:t>上海步科自动化股份有限公司</w:t>
      </w:r>
    </w:p>
    <w:p w14:paraId="78AAE727">
      <w:pPr>
        <w:autoSpaceDE w:val="0"/>
        <w:autoSpaceDN w:val="0"/>
        <w:adjustRightInd w:val="0"/>
        <w:spacing w:before="156" w:beforeLines="50" w:after="156" w:afterLines="50"/>
        <w:jc w:val="center"/>
        <w:rPr>
          <w:rFonts w:eastAsia="黑体"/>
          <w:color w:val="000000"/>
          <w:sz w:val="48"/>
          <w:szCs w:val="48"/>
        </w:rPr>
      </w:pPr>
      <w:r>
        <w:rPr>
          <w:rFonts w:eastAsia="黑体"/>
          <w:color w:val="000000"/>
          <w:kern w:val="0"/>
          <w:sz w:val="48"/>
          <w:szCs w:val="48"/>
        </w:rPr>
        <w:t>投资者关系活动记录表</w:t>
      </w:r>
    </w:p>
    <w:p w14:paraId="4F72B7FB"/>
    <w:p w14:paraId="7F08F8EA"/>
    <w:p w14:paraId="164215F5"/>
    <w:p w14:paraId="00510FAE"/>
    <w:p w14:paraId="40D3381D"/>
    <w:p w14:paraId="021C8955">
      <w:pPr>
        <w:jc w:val="center"/>
      </w:pPr>
    </w:p>
    <w:p w14:paraId="1BCD26BF">
      <w:pPr>
        <w:autoSpaceDE w:val="0"/>
        <w:autoSpaceDN w:val="0"/>
        <w:adjustRightInd w:val="0"/>
        <w:rPr>
          <w:b/>
          <w:color w:val="000000"/>
          <w:kern w:val="0"/>
          <w:sz w:val="24"/>
        </w:rPr>
      </w:pPr>
    </w:p>
    <w:p w14:paraId="28542EF4">
      <w:pPr>
        <w:autoSpaceDE w:val="0"/>
        <w:autoSpaceDN w:val="0"/>
        <w:adjustRightInd w:val="0"/>
        <w:rPr>
          <w:b/>
          <w:color w:val="000000"/>
          <w:kern w:val="0"/>
          <w:sz w:val="24"/>
        </w:rPr>
      </w:pPr>
    </w:p>
    <w:p w14:paraId="409A0EA6">
      <w:pPr>
        <w:autoSpaceDE w:val="0"/>
        <w:autoSpaceDN w:val="0"/>
        <w:adjustRightInd w:val="0"/>
        <w:spacing w:before="312" w:beforeLines="100"/>
        <w:jc w:val="center"/>
        <w:rPr>
          <w:rFonts w:eastAsia="黑体"/>
          <w:color w:val="000000"/>
          <w:kern w:val="0"/>
          <w:sz w:val="32"/>
          <w:szCs w:val="28"/>
        </w:rPr>
      </w:pPr>
      <w:r>
        <w:rPr>
          <w:rFonts w:eastAsia="黑体"/>
          <w:color w:val="000000"/>
          <w:kern w:val="0"/>
          <w:sz w:val="32"/>
          <w:szCs w:val="28"/>
        </w:rPr>
        <w:br w:type="page"/>
      </w:r>
      <w:r>
        <w:rPr>
          <w:rFonts w:eastAsia="黑体"/>
          <w:color w:val="000000"/>
          <w:kern w:val="0"/>
          <w:sz w:val="32"/>
          <w:szCs w:val="28"/>
        </w:rPr>
        <w:t>上海步科自动化股份有限公司</w:t>
      </w:r>
    </w:p>
    <w:p w14:paraId="7130BF22">
      <w:pPr>
        <w:autoSpaceDE w:val="0"/>
        <w:autoSpaceDN w:val="0"/>
        <w:adjustRightInd w:val="0"/>
        <w:spacing w:after="312" w:afterLines="100"/>
        <w:jc w:val="center"/>
        <w:rPr>
          <w:rFonts w:eastAsia="黑体"/>
          <w:color w:val="000000"/>
          <w:kern w:val="0"/>
          <w:sz w:val="32"/>
          <w:szCs w:val="28"/>
        </w:rPr>
      </w:pPr>
      <w:r>
        <w:rPr>
          <w:rFonts w:eastAsia="黑体"/>
          <w:color w:val="000000"/>
          <w:kern w:val="0"/>
          <w:sz w:val="32"/>
          <w:szCs w:val="28"/>
        </w:rPr>
        <w:t>投资者关系活动记录表</w:t>
      </w:r>
    </w:p>
    <w:tbl>
      <w:tblPr>
        <w:tblStyle w:val="9"/>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588"/>
      </w:tblGrid>
      <w:tr w14:paraId="7619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2376" w:type="dxa"/>
            <w:vAlign w:val="center"/>
          </w:tcPr>
          <w:p w14:paraId="76216A78">
            <w:pPr>
              <w:autoSpaceDE w:val="0"/>
              <w:autoSpaceDN w:val="0"/>
              <w:adjustRightInd w:val="0"/>
              <w:rPr>
                <w:color w:val="000000"/>
                <w:kern w:val="0"/>
                <w:sz w:val="24"/>
              </w:rPr>
            </w:pPr>
            <w:r>
              <w:rPr>
                <w:color w:val="000000"/>
                <w:kern w:val="0"/>
                <w:sz w:val="24"/>
              </w:rPr>
              <w:t>投资者关系活动类别</w:t>
            </w:r>
          </w:p>
        </w:tc>
        <w:tc>
          <w:tcPr>
            <w:tcW w:w="6588" w:type="dxa"/>
            <w:vAlign w:val="center"/>
          </w:tcPr>
          <w:p w14:paraId="7AFE65D1">
            <w:pPr>
              <w:autoSpaceDE w:val="0"/>
              <w:autoSpaceDN w:val="0"/>
              <w:adjustRightInd w:val="0"/>
              <w:snapToGrid w:val="0"/>
              <w:spacing w:line="360" w:lineRule="auto"/>
              <w:rPr>
                <w:rFonts w:hint="eastAsia" w:ascii="宋体" w:hAnsi="宋体"/>
                <w:color w:val="000000"/>
                <w:kern w:val="0"/>
                <w:sz w:val="24"/>
              </w:rPr>
            </w:pPr>
            <w:r>
              <w:rPr>
                <w:rFonts w:ascii="宋体" w:hAnsi="宋体"/>
                <w:color w:val="000000"/>
                <w:kern w:val="0"/>
                <w:sz w:val="24"/>
              </w:rPr>
              <w:t xml:space="preserve">□特定对象调研   </w:t>
            </w:r>
            <w:r>
              <w:rPr>
                <w:rFonts w:hint="eastAsia" w:ascii="宋体" w:hAnsi="宋体"/>
                <w:color w:val="000000"/>
                <w:kern w:val="0"/>
                <w:sz w:val="24"/>
              </w:rPr>
              <w:t xml:space="preserve"> </w:t>
            </w:r>
            <w:r>
              <w:rPr>
                <w:rFonts w:ascii="宋体" w:hAnsi="宋体"/>
                <w:color w:val="000000"/>
                <w:kern w:val="0"/>
                <w:sz w:val="24"/>
              </w:rPr>
              <w:t xml:space="preserve"> </w:t>
            </w:r>
            <w:r>
              <w:rPr>
                <w:rFonts w:hint="eastAsia" w:ascii="宋体" w:hAnsi="宋体"/>
                <w:color w:val="000000"/>
                <w:kern w:val="0"/>
                <w:sz w:val="24"/>
                <w:lang w:eastAsia="zh-CN"/>
              </w:rPr>
              <w:t>☑</w:t>
            </w:r>
            <w:r>
              <w:rPr>
                <w:rFonts w:ascii="宋体" w:hAnsi="宋体"/>
                <w:color w:val="000000"/>
                <w:kern w:val="0"/>
                <w:sz w:val="24"/>
              </w:rPr>
              <w:t>分析师会议</w:t>
            </w:r>
          </w:p>
          <w:p w14:paraId="0C94F63E">
            <w:pPr>
              <w:autoSpaceDE w:val="0"/>
              <w:autoSpaceDN w:val="0"/>
              <w:adjustRightInd w:val="0"/>
              <w:snapToGrid w:val="0"/>
              <w:spacing w:line="360" w:lineRule="auto"/>
              <w:rPr>
                <w:rFonts w:hint="eastAsia" w:ascii="宋体" w:hAnsi="宋体"/>
                <w:color w:val="000000"/>
                <w:kern w:val="0"/>
                <w:sz w:val="24"/>
              </w:rPr>
            </w:pPr>
            <w:r>
              <w:rPr>
                <w:rFonts w:ascii="宋体" w:hAnsi="宋体"/>
                <w:color w:val="000000"/>
                <w:kern w:val="0"/>
                <w:sz w:val="24"/>
              </w:rPr>
              <w:t xml:space="preserve">□媒体采访         </w:t>
            </w:r>
            <w:r>
              <w:rPr>
                <w:rFonts w:hint="eastAsia" w:ascii="宋体" w:hAnsi="宋体"/>
                <w:color w:val="000000"/>
                <w:kern w:val="0"/>
                <w:sz w:val="24"/>
              </w:rPr>
              <w:t>□</w:t>
            </w:r>
            <w:r>
              <w:rPr>
                <w:rFonts w:ascii="宋体" w:hAnsi="宋体"/>
                <w:color w:val="000000"/>
                <w:kern w:val="0"/>
                <w:sz w:val="24"/>
              </w:rPr>
              <w:t xml:space="preserve">业绩说明会 </w:t>
            </w:r>
          </w:p>
          <w:p w14:paraId="49B770FB">
            <w:pPr>
              <w:autoSpaceDE w:val="0"/>
              <w:autoSpaceDN w:val="0"/>
              <w:adjustRightInd w:val="0"/>
              <w:snapToGrid w:val="0"/>
              <w:spacing w:line="360" w:lineRule="auto"/>
              <w:rPr>
                <w:rFonts w:hint="eastAsia" w:ascii="宋体" w:hAnsi="宋体"/>
                <w:color w:val="000000"/>
                <w:kern w:val="0"/>
                <w:sz w:val="24"/>
              </w:rPr>
            </w:pPr>
            <w:r>
              <w:rPr>
                <w:rFonts w:ascii="宋体" w:hAnsi="宋体"/>
                <w:color w:val="000000"/>
                <w:kern w:val="0"/>
                <w:sz w:val="24"/>
              </w:rPr>
              <w:t xml:space="preserve">□新闻发布会       </w:t>
            </w:r>
            <w:r>
              <w:rPr>
                <w:rFonts w:hint="eastAsia" w:ascii="Segoe UI Symbol" w:hAnsi="Segoe UI Symbol" w:cs="Segoe UI Symbol"/>
                <w:color w:val="000000"/>
                <w:kern w:val="0"/>
                <w:sz w:val="24"/>
                <w:lang w:eastAsia="zh-CN"/>
              </w:rPr>
              <w:t>□</w:t>
            </w:r>
            <w:r>
              <w:rPr>
                <w:rFonts w:ascii="宋体" w:hAnsi="宋体"/>
                <w:color w:val="000000"/>
                <w:kern w:val="0"/>
                <w:sz w:val="24"/>
              </w:rPr>
              <w:t>路演活动</w:t>
            </w:r>
          </w:p>
          <w:p w14:paraId="1D761977">
            <w:pPr>
              <w:autoSpaceDE w:val="0"/>
              <w:autoSpaceDN w:val="0"/>
              <w:adjustRightInd w:val="0"/>
              <w:snapToGrid w:val="0"/>
              <w:spacing w:line="360" w:lineRule="auto"/>
              <w:rPr>
                <w:rFonts w:hint="eastAsia" w:ascii="宋体" w:hAnsi="宋体"/>
                <w:color w:val="000000"/>
                <w:kern w:val="0"/>
                <w:sz w:val="24"/>
              </w:rPr>
            </w:pPr>
            <w:r>
              <w:rPr>
                <w:rFonts w:hint="eastAsia" w:ascii="Segoe UI Symbol" w:hAnsi="Segoe UI Symbol" w:cs="Segoe UI Symbol"/>
                <w:color w:val="000000"/>
                <w:kern w:val="0"/>
                <w:sz w:val="24"/>
                <w:lang w:eastAsia="zh-CN"/>
              </w:rPr>
              <w:t>□</w:t>
            </w:r>
            <w:r>
              <w:rPr>
                <w:rFonts w:ascii="宋体" w:hAnsi="宋体"/>
                <w:color w:val="000000"/>
                <w:kern w:val="0"/>
                <w:sz w:val="24"/>
              </w:rPr>
              <w:t>现场参观         □一对一沟通</w:t>
            </w:r>
          </w:p>
          <w:p w14:paraId="56BB9A42">
            <w:pPr>
              <w:autoSpaceDE w:val="0"/>
              <w:autoSpaceDN w:val="0"/>
              <w:adjustRightInd w:val="0"/>
              <w:snapToGrid w:val="0"/>
              <w:spacing w:line="360" w:lineRule="auto"/>
              <w:rPr>
                <w:color w:val="000000"/>
                <w:kern w:val="0"/>
                <w:sz w:val="24"/>
              </w:rPr>
            </w:pPr>
            <w:r>
              <w:rPr>
                <w:rFonts w:hint="eastAsia" w:ascii="宋体" w:hAnsi="宋体"/>
                <w:color w:val="000000"/>
                <w:kern w:val="0"/>
                <w:sz w:val="24"/>
                <w:lang w:eastAsia="zh-CN"/>
              </w:rPr>
              <w:t>□</w:t>
            </w:r>
            <w:r>
              <w:rPr>
                <w:rFonts w:ascii="宋体" w:hAnsi="宋体"/>
                <w:color w:val="000000"/>
                <w:kern w:val="0"/>
                <w:sz w:val="24"/>
              </w:rPr>
              <w:t>其他（电话会议）</w:t>
            </w:r>
          </w:p>
        </w:tc>
      </w:tr>
      <w:tr w14:paraId="4430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76" w:type="dxa"/>
            <w:vAlign w:val="center"/>
          </w:tcPr>
          <w:p w14:paraId="54F5FA04">
            <w:pPr>
              <w:autoSpaceDE w:val="0"/>
              <w:autoSpaceDN w:val="0"/>
              <w:adjustRightInd w:val="0"/>
              <w:rPr>
                <w:color w:val="000000"/>
                <w:kern w:val="0"/>
                <w:sz w:val="24"/>
              </w:rPr>
            </w:pPr>
            <w:r>
              <w:rPr>
                <w:color w:val="000000"/>
                <w:kern w:val="0"/>
                <w:sz w:val="24"/>
              </w:rPr>
              <w:t>参与单位名称</w:t>
            </w:r>
          </w:p>
        </w:tc>
        <w:tc>
          <w:tcPr>
            <w:tcW w:w="6588" w:type="dxa"/>
            <w:vAlign w:val="center"/>
          </w:tcPr>
          <w:p w14:paraId="3BCEA2C6">
            <w:pPr>
              <w:bidi w:val="0"/>
              <w:rPr>
                <w:rFonts w:hint="default"/>
                <w:lang w:val="en-US" w:eastAsia="zh-CN"/>
              </w:rPr>
            </w:pPr>
            <w:r>
              <w:rPr>
                <w:rFonts w:hint="default"/>
                <w:lang w:val="en-US" w:eastAsia="zh-CN"/>
              </w:rPr>
              <w:t>东北证券策略会</w:t>
            </w:r>
          </w:p>
          <w:p w14:paraId="7494B3A3">
            <w:pPr>
              <w:bidi w:val="0"/>
              <w:rPr>
                <w:rFonts w:hint="eastAsia"/>
              </w:rPr>
            </w:pPr>
            <w:r>
              <w:rPr>
                <w:rFonts w:hint="eastAsia"/>
              </w:rPr>
              <w:t>国泰海通策略会</w:t>
            </w:r>
          </w:p>
          <w:p w14:paraId="4E2C79B2">
            <w:pPr>
              <w:bidi w:val="0"/>
              <w:rPr>
                <w:rFonts w:hint="default"/>
                <w:lang w:val="en-US" w:eastAsia="zh-CN"/>
              </w:rPr>
            </w:pPr>
            <w:r>
              <w:rPr>
                <w:rFonts w:hint="default"/>
                <w:lang w:val="en-US" w:eastAsia="zh-CN"/>
              </w:rPr>
              <w:t>华泰证券策略会</w:t>
            </w:r>
          </w:p>
          <w:p w14:paraId="42E2CCC0">
            <w:pPr>
              <w:bidi w:val="0"/>
              <w:rPr>
                <w:rFonts w:hint="default"/>
                <w:lang w:val="en-US" w:eastAsia="zh-CN"/>
              </w:rPr>
            </w:pPr>
            <w:r>
              <w:rPr>
                <w:rFonts w:hint="default"/>
                <w:lang w:val="en-US" w:eastAsia="zh-CN"/>
              </w:rPr>
              <w:t>华源证券策略会</w:t>
            </w:r>
          </w:p>
          <w:p w14:paraId="6B2AE2CD">
            <w:pPr>
              <w:bidi w:val="0"/>
              <w:rPr>
                <w:rFonts w:hint="default"/>
                <w:lang w:val="en-US" w:eastAsia="zh-CN"/>
              </w:rPr>
            </w:pPr>
            <w:r>
              <w:rPr>
                <w:rFonts w:hint="default"/>
                <w:lang w:val="en-US" w:eastAsia="zh-CN"/>
              </w:rPr>
              <w:t>东吴证券策略会</w:t>
            </w:r>
          </w:p>
          <w:p w14:paraId="1150B71C">
            <w:pPr>
              <w:bidi w:val="0"/>
              <w:rPr>
                <w:rFonts w:hint="default"/>
                <w:lang w:val="en-US" w:eastAsia="zh-CN"/>
              </w:rPr>
            </w:pPr>
            <w:r>
              <w:rPr>
                <w:rFonts w:hint="default"/>
                <w:lang w:val="en-US" w:eastAsia="zh-CN"/>
              </w:rPr>
              <w:t>开源证券策略会</w:t>
            </w:r>
          </w:p>
        </w:tc>
      </w:tr>
      <w:tr w14:paraId="1AD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376" w:type="dxa"/>
            <w:vAlign w:val="center"/>
          </w:tcPr>
          <w:p w14:paraId="02CA45EB">
            <w:pPr>
              <w:autoSpaceDE w:val="0"/>
              <w:autoSpaceDN w:val="0"/>
              <w:adjustRightInd w:val="0"/>
              <w:rPr>
                <w:color w:val="000000"/>
                <w:kern w:val="0"/>
                <w:sz w:val="24"/>
              </w:rPr>
            </w:pPr>
            <w:r>
              <w:rPr>
                <w:color w:val="000000"/>
                <w:kern w:val="0"/>
                <w:sz w:val="24"/>
              </w:rPr>
              <w:t>时间</w:t>
            </w:r>
          </w:p>
        </w:tc>
        <w:tc>
          <w:tcPr>
            <w:tcW w:w="6588" w:type="dxa"/>
            <w:vAlign w:val="center"/>
          </w:tcPr>
          <w:p w14:paraId="44165F26">
            <w:pPr>
              <w:autoSpaceDE w:val="0"/>
              <w:autoSpaceDN w:val="0"/>
              <w:adjustRightInd w:val="0"/>
              <w:rPr>
                <w:rFonts w:hint="default"/>
                <w:lang w:val="en-US" w:eastAsia="zh-CN"/>
              </w:rPr>
            </w:pPr>
            <w:r>
              <w:rPr>
                <w:rFonts w:hint="eastAsia"/>
                <w:lang w:val="en-US" w:eastAsia="zh-CN"/>
              </w:rPr>
              <w:t>2025年11月4日 14:30</w:t>
            </w:r>
          </w:p>
          <w:p w14:paraId="24E907C3">
            <w:pPr>
              <w:autoSpaceDE w:val="0"/>
              <w:autoSpaceDN w:val="0"/>
              <w:adjustRightInd w:val="0"/>
              <w:rPr>
                <w:rFonts w:hint="default"/>
                <w:lang w:val="en-US" w:eastAsia="zh-CN"/>
              </w:rPr>
            </w:pPr>
            <w:r>
              <w:rPr>
                <w:rFonts w:hint="eastAsia"/>
                <w:lang w:val="en-US" w:eastAsia="zh-CN"/>
              </w:rPr>
              <w:t>2025年11月5日 09:00 13:30 15:30</w:t>
            </w:r>
          </w:p>
          <w:p w14:paraId="5823542D">
            <w:pPr>
              <w:autoSpaceDE w:val="0"/>
              <w:autoSpaceDN w:val="0"/>
              <w:adjustRightInd w:val="0"/>
              <w:rPr>
                <w:rFonts w:hint="default"/>
                <w:lang w:val="en-US" w:eastAsia="zh-CN"/>
              </w:rPr>
            </w:pPr>
            <w:r>
              <w:rPr>
                <w:rFonts w:hint="eastAsia"/>
                <w:lang w:val="en-US" w:eastAsia="zh-CN"/>
              </w:rPr>
              <w:t>2025年11月6日 10:00 14:30</w:t>
            </w:r>
          </w:p>
        </w:tc>
      </w:tr>
      <w:tr w14:paraId="1BD4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76" w:type="dxa"/>
            <w:vAlign w:val="center"/>
          </w:tcPr>
          <w:p w14:paraId="74545ADE">
            <w:pPr>
              <w:autoSpaceDE w:val="0"/>
              <w:autoSpaceDN w:val="0"/>
              <w:adjustRightInd w:val="0"/>
              <w:rPr>
                <w:color w:val="000000"/>
                <w:kern w:val="0"/>
                <w:sz w:val="24"/>
              </w:rPr>
            </w:pPr>
            <w:r>
              <w:rPr>
                <w:color w:val="000000"/>
                <w:kern w:val="0"/>
                <w:sz w:val="24"/>
              </w:rPr>
              <w:t>地点</w:t>
            </w:r>
          </w:p>
        </w:tc>
        <w:tc>
          <w:tcPr>
            <w:tcW w:w="6588" w:type="dxa"/>
            <w:vAlign w:val="center"/>
          </w:tcPr>
          <w:p w14:paraId="7E5C5341">
            <w:pPr>
              <w:autoSpaceDE w:val="0"/>
              <w:autoSpaceDN w:val="0"/>
              <w:adjustRightInd w:val="0"/>
              <w:rPr>
                <w:rFonts w:hint="eastAsia" w:ascii="宋体" w:hAnsi="宋体" w:eastAsia="宋体" w:cs="宋体"/>
                <w:color w:val="000000"/>
                <w:kern w:val="0"/>
                <w:szCs w:val="21"/>
                <w:lang w:val="en-US" w:eastAsia="zh-CN"/>
              </w:rPr>
            </w:pPr>
            <w:r>
              <w:rPr>
                <w:rFonts w:hint="eastAsia" w:ascii="宋体" w:hAnsi="宋体" w:cs="宋体"/>
                <w:color w:val="000000"/>
                <w:kern w:val="0"/>
                <w:szCs w:val="21"/>
              </w:rPr>
              <w:t>北京金融街丽思卡尔顿</w:t>
            </w:r>
            <w:r>
              <w:rPr>
                <w:rFonts w:hint="eastAsia" w:ascii="宋体" w:hAnsi="宋体" w:cs="宋体"/>
                <w:color w:val="000000"/>
                <w:kern w:val="0"/>
                <w:szCs w:val="21"/>
                <w:lang w:val="en-US" w:eastAsia="zh-CN"/>
              </w:rPr>
              <w:t>酒店</w:t>
            </w:r>
          </w:p>
          <w:p w14:paraId="0093AEBE">
            <w:pPr>
              <w:bidi w:val="0"/>
              <w:rPr>
                <w:rFonts w:hint="eastAsia"/>
              </w:rPr>
            </w:pPr>
            <w:r>
              <w:rPr>
                <w:rFonts w:hint="eastAsia"/>
              </w:rPr>
              <w:t>北京中国大饭店</w:t>
            </w:r>
          </w:p>
          <w:p w14:paraId="0BDA3AEC">
            <w:pPr>
              <w:bidi w:val="0"/>
              <w:rPr>
                <w:rFonts w:hint="eastAsia"/>
              </w:rPr>
            </w:pPr>
            <w:r>
              <w:rPr>
                <w:rFonts w:hint="eastAsia"/>
              </w:rPr>
              <w:t>北京嘉里酒店</w:t>
            </w:r>
          </w:p>
          <w:p w14:paraId="78E688B5">
            <w:pPr>
              <w:bidi w:val="0"/>
              <w:rPr>
                <w:rFonts w:hint="eastAsia" w:ascii="Times New Roman" w:hAnsi="Times New Roman" w:cs="Times New Roman"/>
                <w:color w:val="000000"/>
                <w:kern w:val="0"/>
                <w:szCs w:val="21"/>
              </w:rPr>
            </w:pPr>
            <w:r>
              <w:rPr>
                <w:rFonts w:hint="eastAsia" w:ascii="Times New Roman" w:hAnsi="Times New Roman" w:cs="Times New Roman"/>
                <w:color w:val="000000"/>
                <w:kern w:val="0"/>
                <w:szCs w:val="21"/>
              </w:rPr>
              <w:t>上海金茂君悦酒店</w:t>
            </w:r>
            <w:bookmarkStart w:id="0" w:name="_GoBack"/>
            <w:bookmarkEnd w:id="0"/>
          </w:p>
          <w:p w14:paraId="3D59E6AB">
            <w:pPr>
              <w:bidi w:val="0"/>
              <w:rPr>
                <w:rFonts w:hint="eastAsia"/>
              </w:rPr>
            </w:pPr>
            <w:r>
              <w:rPr>
                <w:rFonts w:hint="eastAsia"/>
              </w:rPr>
              <w:t>上海浦东丽思卡尔顿</w:t>
            </w:r>
            <w:r>
              <w:rPr>
                <w:rFonts w:hint="eastAsia" w:ascii="宋体" w:hAnsi="宋体" w:cs="宋体"/>
                <w:color w:val="000000"/>
                <w:kern w:val="0"/>
                <w:szCs w:val="21"/>
                <w:lang w:val="en-US" w:eastAsia="zh-CN"/>
              </w:rPr>
              <w:t>酒店</w:t>
            </w:r>
          </w:p>
          <w:p w14:paraId="3C06D679">
            <w:pPr>
              <w:bidi w:val="0"/>
            </w:pPr>
            <w:r>
              <w:rPr>
                <w:rFonts w:hint="default"/>
                <w:lang w:val="en-US" w:eastAsia="zh-CN"/>
              </w:rPr>
              <w:t>深圳东海朗廷酒店</w:t>
            </w:r>
          </w:p>
        </w:tc>
      </w:tr>
      <w:tr w14:paraId="5758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376" w:type="dxa"/>
            <w:vAlign w:val="center"/>
          </w:tcPr>
          <w:p w14:paraId="548BF503">
            <w:pPr>
              <w:autoSpaceDE w:val="0"/>
              <w:autoSpaceDN w:val="0"/>
              <w:adjustRightInd w:val="0"/>
              <w:rPr>
                <w:color w:val="000000"/>
                <w:kern w:val="0"/>
                <w:sz w:val="24"/>
              </w:rPr>
            </w:pPr>
            <w:r>
              <w:rPr>
                <w:color w:val="000000"/>
                <w:kern w:val="0"/>
                <w:sz w:val="24"/>
              </w:rPr>
              <w:t>公司接待人员姓名</w:t>
            </w:r>
          </w:p>
        </w:tc>
        <w:tc>
          <w:tcPr>
            <w:tcW w:w="6588" w:type="dxa"/>
            <w:vAlign w:val="center"/>
          </w:tcPr>
          <w:p w14:paraId="67B777F2">
            <w:pPr>
              <w:autoSpaceDE w:val="0"/>
              <w:autoSpaceDN w:val="0"/>
              <w:adjustRightInd w:val="0"/>
              <w:rPr>
                <w:szCs w:val="21"/>
              </w:rPr>
            </w:pPr>
            <w:r>
              <w:rPr>
                <w:szCs w:val="21"/>
              </w:rPr>
              <w:t>董事会秘书 刘耘</w:t>
            </w:r>
          </w:p>
          <w:p w14:paraId="6C3C10A9">
            <w:pPr>
              <w:autoSpaceDE w:val="0"/>
              <w:autoSpaceDN w:val="0"/>
              <w:adjustRightInd w:val="0"/>
              <w:rPr>
                <w:szCs w:val="21"/>
              </w:rPr>
            </w:pPr>
            <w:r>
              <w:rPr>
                <w:szCs w:val="21"/>
              </w:rPr>
              <w:t>证券事务代表 邵凯真</w:t>
            </w:r>
          </w:p>
        </w:tc>
      </w:tr>
      <w:tr w14:paraId="4231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2376" w:type="dxa"/>
            <w:vAlign w:val="center"/>
          </w:tcPr>
          <w:p w14:paraId="699A0A80">
            <w:pPr>
              <w:autoSpaceDE w:val="0"/>
              <w:autoSpaceDN w:val="0"/>
              <w:adjustRightInd w:val="0"/>
              <w:rPr>
                <w:color w:val="000000"/>
                <w:kern w:val="0"/>
                <w:sz w:val="24"/>
              </w:rPr>
            </w:pPr>
            <w:r>
              <w:rPr>
                <w:color w:val="000000"/>
                <w:kern w:val="0"/>
                <w:sz w:val="24"/>
              </w:rPr>
              <w:t>投资者关系活动主要内容介绍</w:t>
            </w:r>
          </w:p>
        </w:tc>
        <w:tc>
          <w:tcPr>
            <w:tcW w:w="6588" w:type="dxa"/>
            <w:vAlign w:val="center"/>
          </w:tcPr>
          <w:p w14:paraId="6287335A">
            <w:pPr>
              <w:numPr>
                <w:ilvl w:val="0"/>
                <w:numId w:val="0"/>
              </w:numPr>
              <w:bidi w:val="0"/>
              <w:rPr>
                <w:rFonts w:hint="default"/>
                <w:lang w:val="en-US" w:eastAsia="zh-CN"/>
              </w:rPr>
            </w:pPr>
            <w:r>
              <w:rPr>
                <w:rFonts w:hint="eastAsia"/>
                <w:lang w:val="en-US" w:eastAsia="zh-CN"/>
              </w:rPr>
              <w:t>1、</w:t>
            </w:r>
            <w:r>
              <w:t>在机器人营收中，移动机器人、协作机器人和人形机器人等各类机器人的占比分别是多少？与去年相比结构是否有变化？</w:t>
            </w:r>
            <w:r>
              <w:rPr>
                <w:rFonts w:hint="eastAsia"/>
              </w:rPr>
              <w:t>展望明年，机器人相关营收预计将达到怎样的增速水平？</w:t>
            </w:r>
          </w:p>
          <w:p w14:paraId="7F503201">
            <w:pPr>
              <w:bidi w:val="0"/>
              <w:rPr>
                <w:rFonts w:hint="eastAsia"/>
                <w:lang w:val="en-US" w:eastAsia="zh-CN"/>
              </w:rPr>
            </w:pPr>
            <w:r>
              <w:rPr>
                <w:rFonts w:hint="eastAsia"/>
                <w:lang w:val="en-US" w:eastAsia="zh-CN"/>
              </w:rPr>
              <w:t>答：过去机器人板块约90%的营收来自移动机器人。今年前三个季度，移动机器人占比下降至约84%，人形机器人、协作机器人及工业机械臂的合计占比增长至约16%，显示出非移动机器人类别快速增长的趋势。今年前三季度机器人业务增速已达65%，主要得益于新型工业机器人、人形机器人及协作机器人的发展。其中，人形机器人和协作机器人虽已有一定增量，但目前仍以客户小批量应用为主。预计明年该领域将实现可观的整体增长。</w:t>
            </w:r>
          </w:p>
          <w:p w14:paraId="460696CF">
            <w:pPr>
              <w:bidi w:val="0"/>
            </w:pPr>
          </w:p>
          <w:p w14:paraId="614EA629">
            <w:pPr>
              <w:bidi w:val="0"/>
            </w:pPr>
            <w:r>
              <w:rPr>
                <w:rFonts w:hint="eastAsia"/>
                <w:lang w:val="en-US" w:eastAsia="zh-CN"/>
              </w:rPr>
              <w:t>2、</w:t>
            </w:r>
            <w:r>
              <w:t>公司在人形机器人方向的国内外市场客户拓展情况如何？前三季度主要出货产品有哪些，销售情况如何？</w:t>
            </w:r>
          </w:p>
          <w:p w14:paraId="1906F16F">
            <w:pPr>
              <w:bidi w:val="0"/>
              <w:rPr>
                <w:rFonts w:hint="eastAsia"/>
                <w:lang w:val="en-US" w:eastAsia="zh-CN"/>
              </w:rPr>
            </w:pPr>
            <w:r>
              <w:rPr>
                <w:rFonts w:hint="eastAsia"/>
                <w:lang w:val="en-US" w:eastAsia="zh-CN"/>
              </w:rPr>
              <w:t>答：公司在前三季度积极拓展海内外客户，国内方面已与多个头部客户持续推进合作，并实现小批量及大批量交付，预计2026年将进入大规模放量阶段。同时，公司推进机器人出海战略，德国子公司建设进展顺利，助力公司在欧洲和美洲市场的客户推广。产品方面，公司聚焦足式和轮式人形机器人，主要出货产品为无框力矩电机和中空驱动器（搭载电磁编码器），并为少量客户提供模组服务，相关产品与生态伙伴共同完成。前三季度无框力矩电机出货量约为43000台，同比增长约189%。</w:t>
            </w:r>
          </w:p>
          <w:p w14:paraId="07264A54">
            <w:pPr>
              <w:pStyle w:val="2"/>
              <w:rPr>
                <w:rFonts w:hint="eastAsia"/>
                <w:lang w:val="en-US" w:eastAsia="zh-CN"/>
              </w:rPr>
            </w:pPr>
          </w:p>
          <w:p w14:paraId="2EF17498">
            <w:pPr>
              <w:rPr>
                <w:rFonts w:hint="eastAsia"/>
                <w:lang w:val="en-US" w:eastAsia="zh-CN"/>
              </w:rPr>
            </w:pPr>
            <w:r>
              <w:rPr>
                <w:rFonts w:hint="eastAsia"/>
                <w:lang w:val="en-US" w:eastAsia="zh-CN"/>
              </w:rPr>
              <w:t>3、如果将股权支付费用加回，三季度整体利润率同比有明显提升，背后的原因是什么？</w:t>
            </w:r>
          </w:p>
          <w:p w14:paraId="373703F8">
            <w:pPr>
              <w:bidi w:val="0"/>
              <w:rPr>
                <w:rFonts w:hint="eastAsia"/>
                <w:lang w:val="en-US" w:eastAsia="zh-CN"/>
              </w:rPr>
            </w:pPr>
            <w:r>
              <w:rPr>
                <w:rFonts w:hint="eastAsia"/>
                <w:lang w:val="en-US" w:eastAsia="zh-CN"/>
              </w:rPr>
              <w:t>答：利润率提升的主要原因一方面是业绩增长和营收增速较快，另一方面是毛利率总体保持相对稳定；尽管综合毛利率有所下降，但主要是由于产品结构变化所致，单个产品的毛利率仍较为稳定。此外，在扣除股份支付影响后，销售、管理和研发费用合计增幅约为8%，费用增长较小，因此在毛利增长的带动下，利润实现了较快增速。</w:t>
            </w:r>
          </w:p>
          <w:p w14:paraId="1CAEAACD">
            <w:pPr>
              <w:bidi w:val="0"/>
              <w:rPr>
                <w:rFonts w:hint="eastAsia"/>
                <w:lang w:val="en-US" w:eastAsia="zh-CN"/>
              </w:rPr>
            </w:pPr>
          </w:p>
          <w:p w14:paraId="337812BB">
            <w:pPr>
              <w:rPr>
                <w:rFonts w:hint="eastAsia"/>
                <w:lang w:val="en-US" w:eastAsia="zh-CN"/>
              </w:rPr>
            </w:pPr>
            <w:r>
              <w:rPr>
                <w:rFonts w:hint="eastAsia"/>
                <w:lang w:val="en-US" w:eastAsia="zh-CN"/>
              </w:rPr>
              <w:t>4、目前公司伺服系统与外资技术水平相比处于什么水平？未来伺服系统占比是否还会持续提升？</w:t>
            </w:r>
          </w:p>
          <w:p w14:paraId="5247A4F7">
            <w:pPr>
              <w:bidi w:val="0"/>
              <w:rPr>
                <w:rFonts w:hint="eastAsia"/>
                <w:lang w:val="en-US" w:eastAsia="zh-CN"/>
              </w:rPr>
            </w:pPr>
            <w:r>
              <w:rPr>
                <w:rFonts w:hint="eastAsia"/>
                <w:lang w:val="en-US" w:eastAsia="zh-CN"/>
              </w:rPr>
              <w:t>答：公司在低压伺服系统领域已基本达到与外资相当的技术水平，尤其在机器人应用方面，能够与国外品牌竞争，并在海外市场积极替代日本、欧洲及美国等竞品。通用伺服系统因应用场景广泛，部分领域仍在拓展中。公司已推出PK系列高端通用伺服产品，并计划于今年底至明年初发布新系列，该产品将面向更高端市场，直接对标西门子等国际高端品牌，进一步提升从低压到高压伺服的整体技术能力。伺服系统占比近年来持续上升，由过去不足50%提升至去年的约60%，2025年1-9月已达约68%，主要得益于伺服电机、驱动器及模组的快速增长。未来预计伺服系统占比仍将提升，同时控制系统产品如人机界面和PLC也将保持稳定增长。</w:t>
            </w:r>
          </w:p>
          <w:p w14:paraId="32D5030D">
            <w:pPr>
              <w:pStyle w:val="2"/>
              <w:rPr>
                <w:rFonts w:hint="eastAsia"/>
                <w:lang w:val="en-US" w:eastAsia="zh-CN"/>
              </w:rPr>
            </w:pPr>
          </w:p>
          <w:p w14:paraId="4C63E612">
            <w:pPr>
              <w:rPr>
                <w:rFonts w:hint="eastAsia"/>
                <w:lang w:val="en-US" w:eastAsia="zh-CN"/>
              </w:rPr>
            </w:pPr>
            <w:r>
              <w:rPr>
                <w:rFonts w:hint="eastAsia"/>
                <w:lang w:val="en-US" w:eastAsia="zh-CN"/>
              </w:rPr>
              <w:t>5、公司在变频器产品领域的竞争优势是什么？对于市占率和放量有何目标？</w:t>
            </w:r>
          </w:p>
          <w:p w14:paraId="07BED112">
            <w:pPr>
              <w:bidi w:val="0"/>
              <w:rPr>
                <w:rFonts w:hint="eastAsia"/>
                <w:lang w:val="en-US" w:eastAsia="zh-CN"/>
              </w:rPr>
            </w:pPr>
            <w:r>
              <w:rPr>
                <w:rFonts w:hint="eastAsia"/>
                <w:lang w:val="en-US" w:eastAsia="zh-CN"/>
              </w:rPr>
              <w:t>答：变频器市场整体属于红海市场，但公司长期以来致力于智能制造高端设备的整体解决方案推广，变频器是其中的重要环节。公司已在该领域持续进行产品积累和布局，并非近期才开始。目前，公司正加大在新能源、海外市场及风电等领域的推广力度，在向客户提供人机界面和PLC解决方案的同时，配套提供变频器产品，形成完整的系统化交付能力。公司的竞争策略聚焦于能够接受整体解决方案并创造差异化价值的客户领域，以实现协同效应。针对变频器单品，公司未设定具体的市占率或放量目标，但由于产品品类较小且具备良好增长基础，近年来保持了较好的增速。</w:t>
            </w:r>
          </w:p>
          <w:p w14:paraId="05CD9AA9">
            <w:pPr>
              <w:pStyle w:val="2"/>
              <w:rPr>
                <w:rFonts w:hint="eastAsia"/>
                <w:lang w:val="en-US" w:eastAsia="zh-CN"/>
              </w:rPr>
            </w:pPr>
          </w:p>
          <w:p w14:paraId="57DFF367">
            <w:pPr>
              <w:rPr>
                <w:rFonts w:hint="eastAsia"/>
                <w:lang w:val="en-US" w:eastAsia="zh-CN"/>
              </w:rPr>
            </w:pPr>
            <w:r>
              <w:rPr>
                <w:rFonts w:hint="eastAsia"/>
                <w:lang w:val="en-US" w:eastAsia="zh-CN"/>
              </w:rPr>
              <w:t>6、未来海外业务将主推哪些产品，面向何种客户群体，并且是否会考虑在海外建立生产设施？</w:t>
            </w:r>
          </w:p>
          <w:p w14:paraId="1E23CA73">
            <w:pPr>
              <w:bidi w:val="0"/>
            </w:pPr>
            <w:r>
              <w:rPr>
                <w:rFonts w:hint="eastAsia"/>
                <w:lang w:val="en-US" w:eastAsia="zh-CN"/>
              </w:rPr>
              <w:t>答：海外业务的整体战略与国内一致，未来将以机器人作为主要产品。此前海外业务主要聚焦于工业标准自动化产品，但从前年开始，已逐步将国内成熟的机器人解决方案和产品向海外市场推广。新产品定义均基于海外客户的需求，并依据全球安全标准进行设计，以满足全球销售的要求。在渠道建设方面，德国子公司初期将作为营销中心，负责本地化客户服务和市场开拓。同时，公司已在德国拥有具备丰富生产和建设经验的本土合作伙伴，未来不排除与这些伙伴合作开展海外共同制造。此外，当前产能规划以国内为主，将优先推进募投项目常州二期项目的建设，并根据海外客户的实际进展和需求，审慎考虑在海外建厂的可行性与具体方案。</w:t>
            </w:r>
          </w:p>
        </w:tc>
      </w:tr>
      <w:tr w14:paraId="261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76" w:type="dxa"/>
            <w:vAlign w:val="center"/>
          </w:tcPr>
          <w:p w14:paraId="026D4E02">
            <w:pPr>
              <w:autoSpaceDE w:val="0"/>
              <w:autoSpaceDN w:val="0"/>
              <w:adjustRightInd w:val="0"/>
              <w:rPr>
                <w:color w:val="000000"/>
                <w:kern w:val="0"/>
                <w:sz w:val="24"/>
              </w:rPr>
            </w:pPr>
            <w:r>
              <w:rPr>
                <w:color w:val="000000"/>
                <w:kern w:val="0"/>
                <w:sz w:val="24"/>
              </w:rPr>
              <w:t>附件清单</w:t>
            </w:r>
          </w:p>
        </w:tc>
        <w:tc>
          <w:tcPr>
            <w:tcW w:w="6588" w:type="dxa"/>
            <w:vAlign w:val="center"/>
          </w:tcPr>
          <w:p w14:paraId="36564139">
            <w:pPr>
              <w:bidi w:val="0"/>
            </w:pPr>
            <w:r>
              <w:t>无</w:t>
            </w:r>
          </w:p>
        </w:tc>
      </w:tr>
      <w:tr w14:paraId="7885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376" w:type="dxa"/>
            <w:vAlign w:val="center"/>
          </w:tcPr>
          <w:p w14:paraId="750AE551">
            <w:pPr>
              <w:autoSpaceDE w:val="0"/>
              <w:autoSpaceDN w:val="0"/>
              <w:adjustRightInd w:val="0"/>
              <w:rPr>
                <w:color w:val="000000"/>
                <w:kern w:val="0"/>
                <w:sz w:val="24"/>
              </w:rPr>
            </w:pPr>
            <w:r>
              <w:rPr>
                <w:color w:val="000000"/>
                <w:kern w:val="0"/>
                <w:sz w:val="24"/>
              </w:rPr>
              <w:t>日期</w:t>
            </w:r>
          </w:p>
        </w:tc>
        <w:tc>
          <w:tcPr>
            <w:tcW w:w="6588" w:type="dxa"/>
            <w:vAlign w:val="center"/>
          </w:tcPr>
          <w:p w14:paraId="3E0C4A23">
            <w:pPr>
              <w:autoSpaceDE w:val="0"/>
              <w:autoSpaceDN w:val="0"/>
              <w:adjustRightInd w:val="0"/>
              <w:rPr>
                <w:color w:val="000000"/>
                <w:kern w:val="0"/>
                <w:sz w:val="24"/>
              </w:rPr>
            </w:pPr>
            <w:r>
              <w:rPr>
                <w:color w:val="000000"/>
                <w:kern w:val="0"/>
                <w:sz w:val="24"/>
              </w:rPr>
              <w:t>2025年</w:t>
            </w:r>
            <w:r>
              <w:rPr>
                <w:rFonts w:hint="eastAsia"/>
                <w:color w:val="000000"/>
                <w:kern w:val="0"/>
                <w:sz w:val="24"/>
                <w:lang w:val="en-US" w:eastAsia="zh-CN"/>
              </w:rPr>
              <w:t>11</w:t>
            </w:r>
            <w:r>
              <w:rPr>
                <w:color w:val="000000"/>
                <w:kern w:val="0"/>
                <w:sz w:val="24"/>
              </w:rPr>
              <w:t>月</w:t>
            </w:r>
            <w:r>
              <w:rPr>
                <w:rFonts w:hint="eastAsia"/>
                <w:color w:val="000000"/>
                <w:kern w:val="0"/>
                <w:sz w:val="24"/>
                <w:lang w:val="en-US" w:eastAsia="zh-CN"/>
              </w:rPr>
              <w:t>4</w:t>
            </w:r>
            <w:r>
              <w:rPr>
                <w:color w:val="000000"/>
                <w:kern w:val="0"/>
                <w:sz w:val="24"/>
              </w:rPr>
              <w:t>日-</w:t>
            </w:r>
            <w:r>
              <w:rPr>
                <w:rFonts w:hint="eastAsia"/>
                <w:color w:val="000000"/>
                <w:kern w:val="0"/>
                <w:sz w:val="24"/>
                <w:lang w:val="en-US" w:eastAsia="zh-CN"/>
              </w:rPr>
              <w:t>11</w:t>
            </w:r>
            <w:r>
              <w:rPr>
                <w:color w:val="000000"/>
                <w:kern w:val="0"/>
                <w:sz w:val="24"/>
              </w:rPr>
              <w:t>月</w:t>
            </w:r>
            <w:r>
              <w:rPr>
                <w:rFonts w:hint="eastAsia"/>
                <w:color w:val="000000"/>
                <w:kern w:val="0"/>
                <w:sz w:val="24"/>
                <w:lang w:val="en-US" w:eastAsia="zh-CN"/>
              </w:rPr>
              <w:t>6</w:t>
            </w:r>
            <w:r>
              <w:rPr>
                <w:color w:val="000000"/>
                <w:kern w:val="0"/>
                <w:sz w:val="24"/>
              </w:rPr>
              <w:t>日</w:t>
            </w:r>
          </w:p>
        </w:tc>
      </w:tr>
    </w:tbl>
    <w:p w14:paraId="229DD377">
      <w:pPr>
        <w:rPr>
          <w:color w:val="000000"/>
          <w:kern w:val="0"/>
          <w:sz w:val="24"/>
        </w:rPr>
      </w:pPr>
    </w:p>
    <w:sectPr>
      <w:headerReference r:id="rId4" w:type="first"/>
      <w:headerReference r:id="rId3" w:type="default"/>
      <w:pgSz w:w="11906" w:h="16838"/>
      <w:pgMar w:top="1304" w:right="1797"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44B1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0EC9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5NjRiNjhhOWIwYzE1Y2RkNmQwNDhkNDE3MTMzZjcifQ=="/>
  </w:docVars>
  <w:rsids>
    <w:rsidRoot w:val="00AA53F6"/>
    <w:rsid w:val="00002630"/>
    <w:rsid w:val="00002D64"/>
    <w:rsid w:val="000070C5"/>
    <w:rsid w:val="00010ED3"/>
    <w:rsid w:val="000112D6"/>
    <w:rsid w:val="0001156E"/>
    <w:rsid w:val="0001454A"/>
    <w:rsid w:val="00015290"/>
    <w:rsid w:val="000173BA"/>
    <w:rsid w:val="00017A81"/>
    <w:rsid w:val="00030C1A"/>
    <w:rsid w:val="000310B3"/>
    <w:rsid w:val="0003227D"/>
    <w:rsid w:val="000353B0"/>
    <w:rsid w:val="000355E0"/>
    <w:rsid w:val="00040138"/>
    <w:rsid w:val="00042292"/>
    <w:rsid w:val="00044252"/>
    <w:rsid w:val="0004465F"/>
    <w:rsid w:val="00046C96"/>
    <w:rsid w:val="000509EF"/>
    <w:rsid w:val="00052824"/>
    <w:rsid w:val="000541A0"/>
    <w:rsid w:val="00057C59"/>
    <w:rsid w:val="00066D53"/>
    <w:rsid w:val="00070C32"/>
    <w:rsid w:val="00070C9B"/>
    <w:rsid w:val="00075261"/>
    <w:rsid w:val="00075660"/>
    <w:rsid w:val="00080DB4"/>
    <w:rsid w:val="0008442A"/>
    <w:rsid w:val="00084869"/>
    <w:rsid w:val="00086D6A"/>
    <w:rsid w:val="0008740B"/>
    <w:rsid w:val="00087B0F"/>
    <w:rsid w:val="000930D4"/>
    <w:rsid w:val="00093E67"/>
    <w:rsid w:val="00096874"/>
    <w:rsid w:val="000969E1"/>
    <w:rsid w:val="0009754C"/>
    <w:rsid w:val="000A2288"/>
    <w:rsid w:val="000A243B"/>
    <w:rsid w:val="000A2A96"/>
    <w:rsid w:val="000A5027"/>
    <w:rsid w:val="000A6760"/>
    <w:rsid w:val="000A7BA5"/>
    <w:rsid w:val="000B0B53"/>
    <w:rsid w:val="000B1703"/>
    <w:rsid w:val="000B18AD"/>
    <w:rsid w:val="000B2347"/>
    <w:rsid w:val="000B4C1B"/>
    <w:rsid w:val="000B72F0"/>
    <w:rsid w:val="000B7DF6"/>
    <w:rsid w:val="000C0CE4"/>
    <w:rsid w:val="000C1B56"/>
    <w:rsid w:val="000C1EAC"/>
    <w:rsid w:val="000C59A8"/>
    <w:rsid w:val="000C63A1"/>
    <w:rsid w:val="000C6DBA"/>
    <w:rsid w:val="000D17F8"/>
    <w:rsid w:val="000D3B07"/>
    <w:rsid w:val="000D42E1"/>
    <w:rsid w:val="000D559B"/>
    <w:rsid w:val="000D5ACA"/>
    <w:rsid w:val="000D799E"/>
    <w:rsid w:val="000E1EEB"/>
    <w:rsid w:val="000E37E9"/>
    <w:rsid w:val="000F320D"/>
    <w:rsid w:val="000F430E"/>
    <w:rsid w:val="000F4BC9"/>
    <w:rsid w:val="000F79D6"/>
    <w:rsid w:val="000F7B2B"/>
    <w:rsid w:val="00100182"/>
    <w:rsid w:val="00100DAC"/>
    <w:rsid w:val="0010162A"/>
    <w:rsid w:val="00101C3A"/>
    <w:rsid w:val="0010216D"/>
    <w:rsid w:val="0010602E"/>
    <w:rsid w:val="001069EF"/>
    <w:rsid w:val="00110FD1"/>
    <w:rsid w:val="00110FD8"/>
    <w:rsid w:val="00113882"/>
    <w:rsid w:val="0011404E"/>
    <w:rsid w:val="001143FA"/>
    <w:rsid w:val="00122A1B"/>
    <w:rsid w:val="00124803"/>
    <w:rsid w:val="0012692F"/>
    <w:rsid w:val="00134AF4"/>
    <w:rsid w:val="00136B86"/>
    <w:rsid w:val="00137811"/>
    <w:rsid w:val="00141548"/>
    <w:rsid w:val="00144672"/>
    <w:rsid w:val="001452ED"/>
    <w:rsid w:val="0014762D"/>
    <w:rsid w:val="001478E6"/>
    <w:rsid w:val="0015242C"/>
    <w:rsid w:val="00156291"/>
    <w:rsid w:val="0016048D"/>
    <w:rsid w:val="00160918"/>
    <w:rsid w:val="0016209F"/>
    <w:rsid w:val="00164F3E"/>
    <w:rsid w:val="00167295"/>
    <w:rsid w:val="00174942"/>
    <w:rsid w:val="00176017"/>
    <w:rsid w:val="001774F6"/>
    <w:rsid w:val="001802BB"/>
    <w:rsid w:val="001803FC"/>
    <w:rsid w:val="00183AB8"/>
    <w:rsid w:val="001854DB"/>
    <w:rsid w:val="001863AC"/>
    <w:rsid w:val="00187E2D"/>
    <w:rsid w:val="00190B16"/>
    <w:rsid w:val="001937BB"/>
    <w:rsid w:val="001937EA"/>
    <w:rsid w:val="0019473E"/>
    <w:rsid w:val="001957FC"/>
    <w:rsid w:val="00195DD3"/>
    <w:rsid w:val="0019700E"/>
    <w:rsid w:val="00197D58"/>
    <w:rsid w:val="001A13BD"/>
    <w:rsid w:val="001A6A74"/>
    <w:rsid w:val="001B11DF"/>
    <w:rsid w:val="001B2DE4"/>
    <w:rsid w:val="001B38DC"/>
    <w:rsid w:val="001D1DC1"/>
    <w:rsid w:val="001E2351"/>
    <w:rsid w:val="001E2594"/>
    <w:rsid w:val="001E3944"/>
    <w:rsid w:val="001E5FB2"/>
    <w:rsid w:val="001E7F54"/>
    <w:rsid w:val="001F0AA0"/>
    <w:rsid w:val="001F0B38"/>
    <w:rsid w:val="001F30E5"/>
    <w:rsid w:val="001F387D"/>
    <w:rsid w:val="001F4440"/>
    <w:rsid w:val="001F7AE7"/>
    <w:rsid w:val="00202304"/>
    <w:rsid w:val="00202EDF"/>
    <w:rsid w:val="00203129"/>
    <w:rsid w:val="002105EA"/>
    <w:rsid w:val="0021285C"/>
    <w:rsid w:val="00215484"/>
    <w:rsid w:val="0022286C"/>
    <w:rsid w:val="00224B97"/>
    <w:rsid w:val="00230161"/>
    <w:rsid w:val="00233E74"/>
    <w:rsid w:val="00234FC8"/>
    <w:rsid w:val="00236E5A"/>
    <w:rsid w:val="00237CA7"/>
    <w:rsid w:val="002401D3"/>
    <w:rsid w:val="002413F3"/>
    <w:rsid w:val="00241804"/>
    <w:rsid w:val="002443F0"/>
    <w:rsid w:val="00245A1F"/>
    <w:rsid w:val="00247FAD"/>
    <w:rsid w:val="00252BB0"/>
    <w:rsid w:val="0025353D"/>
    <w:rsid w:val="0026259C"/>
    <w:rsid w:val="0026332C"/>
    <w:rsid w:val="00264CB8"/>
    <w:rsid w:val="00271061"/>
    <w:rsid w:val="00271153"/>
    <w:rsid w:val="00271D2A"/>
    <w:rsid w:val="00271D5A"/>
    <w:rsid w:val="00282D54"/>
    <w:rsid w:val="0029130A"/>
    <w:rsid w:val="00293857"/>
    <w:rsid w:val="00294D34"/>
    <w:rsid w:val="00296E21"/>
    <w:rsid w:val="002978AA"/>
    <w:rsid w:val="002A0C59"/>
    <w:rsid w:val="002A1080"/>
    <w:rsid w:val="002A1959"/>
    <w:rsid w:val="002A4364"/>
    <w:rsid w:val="002A4381"/>
    <w:rsid w:val="002A44F3"/>
    <w:rsid w:val="002A5BED"/>
    <w:rsid w:val="002A7645"/>
    <w:rsid w:val="002A7884"/>
    <w:rsid w:val="002B0A3B"/>
    <w:rsid w:val="002B1777"/>
    <w:rsid w:val="002B327F"/>
    <w:rsid w:val="002B3F7E"/>
    <w:rsid w:val="002B67C7"/>
    <w:rsid w:val="002B719E"/>
    <w:rsid w:val="002C10C4"/>
    <w:rsid w:val="002C19EE"/>
    <w:rsid w:val="002C1A85"/>
    <w:rsid w:val="002C3244"/>
    <w:rsid w:val="002C570B"/>
    <w:rsid w:val="002C6A9B"/>
    <w:rsid w:val="002D0275"/>
    <w:rsid w:val="002D0CAB"/>
    <w:rsid w:val="002D122F"/>
    <w:rsid w:val="002D1756"/>
    <w:rsid w:val="002D2B91"/>
    <w:rsid w:val="002D443D"/>
    <w:rsid w:val="002D491D"/>
    <w:rsid w:val="002E1E48"/>
    <w:rsid w:val="002E47B8"/>
    <w:rsid w:val="002E7675"/>
    <w:rsid w:val="002F1A3F"/>
    <w:rsid w:val="002F76F7"/>
    <w:rsid w:val="0030017E"/>
    <w:rsid w:val="00302B55"/>
    <w:rsid w:val="00304BDB"/>
    <w:rsid w:val="003058FF"/>
    <w:rsid w:val="00305B02"/>
    <w:rsid w:val="00306CAF"/>
    <w:rsid w:val="00307732"/>
    <w:rsid w:val="00307A3A"/>
    <w:rsid w:val="00307CFF"/>
    <w:rsid w:val="00310B60"/>
    <w:rsid w:val="0031309C"/>
    <w:rsid w:val="00313794"/>
    <w:rsid w:val="0031557F"/>
    <w:rsid w:val="00315908"/>
    <w:rsid w:val="00315E48"/>
    <w:rsid w:val="00323FCA"/>
    <w:rsid w:val="00333A33"/>
    <w:rsid w:val="00336BC6"/>
    <w:rsid w:val="003546BD"/>
    <w:rsid w:val="00355773"/>
    <w:rsid w:val="00355C2D"/>
    <w:rsid w:val="00356F0B"/>
    <w:rsid w:val="003576D8"/>
    <w:rsid w:val="00360FA4"/>
    <w:rsid w:val="00361BCC"/>
    <w:rsid w:val="00362075"/>
    <w:rsid w:val="003634EA"/>
    <w:rsid w:val="00365680"/>
    <w:rsid w:val="00367740"/>
    <w:rsid w:val="00370BBA"/>
    <w:rsid w:val="00370C8B"/>
    <w:rsid w:val="00374DE3"/>
    <w:rsid w:val="00376978"/>
    <w:rsid w:val="0039179F"/>
    <w:rsid w:val="00395A02"/>
    <w:rsid w:val="003A0904"/>
    <w:rsid w:val="003A17B6"/>
    <w:rsid w:val="003A2029"/>
    <w:rsid w:val="003A21A8"/>
    <w:rsid w:val="003A7F38"/>
    <w:rsid w:val="003B655C"/>
    <w:rsid w:val="003C5857"/>
    <w:rsid w:val="003C589E"/>
    <w:rsid w:val="003C666A"/>
    <w:rsid w:val="003D05BD"/>
    <w:rsid w:val="003D089D"/>
    <w:rsid w:val="003D1054"/>
    <w:rsid w:val="003D6191"/>
    <w:rsid w:val="003E3F5C"/>
    <w:rsid w:val="003E5DEA"/>
    <w:rsid w:val="003E660D"/>
    <w:rsid w:val="003F0259"/>
    <w:rsid w:val="003F651B"/>
    <w:rsid w:val="00400B55"/>
    <w:rsid w:val="00401E7F"/>
    <w:rsid w:val="00402A78"/>
    <w:rsid w:val="00402FA2"/>
    <w:rsid w:val="0040506C"/>
    <w:rsid w:val="00407AB7"/>
    <w:rsid w:val="0041037F"/>
    <w:rsid w:val="0041176E"/>
    <w:rsid w:val="00413084"/>
    <w:rsid w:val="004131C6"/>
    <w:rsid w:val="00414E34"/>
    <w:rsid w:val="004163B6"/>
    <w:rsid w:val="004176B8"/>
    <w:rsid w:val="00421CFD"/>
    <w:rsid w:val="004228E9"/>
    <w:rsid w:val="00424694"/>
    <w:rsid w:val="004249A9"/>
    <w:rsid w:val="004270C5"/>
    <w:rsid w:val="004304CE"/>
    <w:rsid w:val="00431819"/>
    <w:rsid w:val="00431B2F"/>
    <w:rsid w:val="00434384"/>
    <w:rsid w:val="00435BDA"/>
    <w:rsid w:val="00436C3A"/>
    <w:rsid w:val="004415F8"/>
    <w:rsid w:val="00451CF3"/>
    <w:rsid w:val="00454B90"/>
    <w:rsid w:val="00466AC8"/>
    <w:rsid w:val="00466B17"/>
    <w:rsid w:val="00470220"/>
    <w:rsid w:val="00472B22"/>
    <w:rsid w:val="004737CA"/>
    <w:rsid w:val="00474CD4"/>
    <w:rsid w:val="00477012"/>
    <w:rsid w:val="0048081E"/>
    <w:rsid w:val="004819B3"/>
    <w:rsid w:val="004830CF"/>
    <w:rsid w:val="00483C46"/>
    <w:rsid w:val="004857CA"/>
    <w:rsid w:val="00491B9E"/>
    <w:rsid w:val="0049589E"/>
    <w:rsid w:val="00496148"/>
    <w:rsid w:val="004963A9"/>
    <w:rsid w:val="0049713B"/>
    <w:rsid w:val="004A621C"/>
    <w:rsid w:val="004A63AC"/>
    <w:rsid w:val="004A711E"/>
    <w:rsid w:val="004B0021"/>
    <w:rsid w:val="004B172B"/>
    <w:rsid w:val="004B53EE"/>
    <w:rsid w:val="004C01F3"/>
    <w:rsid w:val="004C0A61"/>
    <w:rsid w:val="004C3D06"/>
    <w:rsid w:val="004C4A8C"/>
    <w:rsid w:val="004C58E4"/>
    <w:rsid w:val="004C5D34"/>
    <w:rsid w:val="004C68E4"/>
    <w:rsid w:val="004C71C8"/>
    <w:rsid w:val="004D77FB"/>
    <w:rsid w:val="004E1F3B"/>
    <w:rsid w:val="004F02F4"/>
    <w:rsid w:val="0050316E"/>
    <w:rsid w:val="00504FEC"/>
    <w:rsid w:val="00506547"/>
    <w:rsid w:val="00511864"/>
    <w:rsid w:val="0051509E"/>
    <w:rsid w:val="0052041F"/>
    <w:rsid w:val="00521FA0"/>
    <w:rsid w:val="00522248"/>
    <w:rsid w:val="00522435"/>
    <w:rsid w:val="00524BBF"/>
    <w:rsid w:val="00525685"/>
    <w:rsid w:val="005358AD"/>
    <w:rsid w:val="005446F8"/>
    <w:rsid w:val="00545068"/>
    <w:rsid w:val="00545EDA"/>
    <w:rsid w:val="00550B83"/>
    <w:rsid w:val="005518C5"/>
    <w:rsid w:val="00560149"/>
    <w:rsid w:val="00562BE2"/>
    <w:rsid w:val="005642B9"/>
    <w:rsid w:val="0057528F"/>
    <w:rsid w:val="0057636C"/>
    <w:rsid w:val="00580352"/>
    <w:rsid w:val="00583A33"/>
    <w:rsid w:val="00586D1C"/>
    <w:rsid w:val="00587C21"/>
    <w:rsid w:val="00591C01"/>
    <w:rsid w:val="00594A8A"/>
    <w:rsid w:val="005970C2"/>
    <w:rsid w:val="00597E1C"/>
    <w:rsid w:val="005A00C0"/>
    <w:rsid w:val="005A0C2C"/>
    <w:rsid w:val="005B10B7"/>
    <w:rsid w:val="005B309C"/>
    <w:rsid w:val="005B4EDC"/>
    <w:rsid w:val="005B6009"/>
    <w:rsid w:val="005C1129"/>
    <w:rsid w:val="005C2935"/>
    <w:rsid w:val="005C5FA6"/>
    <w:rsid w:val="005C77A0"/>
    <w:rsid w:val="005D6E9D"/>
    <w:rsid w:val="005E2D00"/>
    <w:rsid w:val="005E534C"/>
    <w:rsid w:val="005E5878"/>
    <w:rsid w:val="005E6D06"/>
    <w:rsid w:val="005F3D34"/>
    <w:rsid w:val="005F43F3"/>
    <w:rsid w:val="005F500A"/>
    <w:rsid w:val="005F5C2E"/>
    <w:rsid w:val="005F62DB"/>
    <w:rsid w:val="00600354"/>
    <w:rsid w:val="006019BC"/>
    <w:rsid w:val="0060254D"/>
    <w:rsid w:val="006060BF"/>
    <w:rsid w:val="00606753"/>
    <w:rsid w:val="00612129"/>
    <w:rsid w:val="00615F74"/>
    <w:rsid w:val="00616BB1"/>
    <w:rsid w:val="00617CC5"/>
    <w:rsid w:val="006205DD"/>
    <w:rsid w:val="00621D61"/>
    <w:rsid w:val="00624F16"/>
    <w:rsid w:val="00625A06"/>
    <w:rsid w:val="006320B4"/>
    <w:rsid w:val="00633D4E"/>
    <w:rsid w:val="006340F8"/>
    <w:rsid w:val="006342C8"/>
    <w:rsid w:val="006354E6"/>
    <w:rsid w:val="00636800"/>
    <w:rsid w:val="00636CC5"/>
    <w:rsid w:val="006375B7"/>
    <w:rsid w:val="00641317"/>
    <w:rsid w:val="00641B32"/>
    <w:rsid w:val="006427F7"/>
    <w:rsid w:val="0064436B"/>
    <w:rsid w:val="006467CA"/>
    <w:rsid w:val="00647405"/>
    <w:rsid w:val="00650403"/>
    <w:rsid w:val="00652CC8"/>
    <w:rsid w:val="0065372F"/>
    <w:rsid w:val="0065556C"/>
    <w:rsid w:val="006555C7"/>
    <w:rsid w:val="0065637B"/>
    <w:rsid w:val="006568F7"/>
    <w:rsid w:val="00657A82"/>
    <w:rsid w:val="006623CA"/>
    <w:rsid w:val="00662719"/>
    <w:rsid w:val="006651F9"/>
    <w:rsid w:val="0066781E"/>
    <w:rsid w:val="00675BA9"/>
    <w:rsid w:val="00677195"/>
    <w:rsid w:val="0068000D"/>
    <w:rsid w:val="006869C0"/>
    <w:rsid w:val="00693541"/>
    <w:rsid w:val="0069632D"/>
    <w:rsid w:val="006A5561"/>
    <w:rsid w:val="006A5A66"/>
    <w:rsid w:val="006B0D69"/>
    <w:rsid w:val="006B10A4"/>
    <w:rsid w:val="006B3D43"/>
    <w:rsid w:val="006B4BD6"/>
    <w:rsid w:val="006B6882"/>
    <w:rsid w:val="006C0103"/>
    <w:rsid w:val="006C17FF"/>
    <w:rsid w:val="006C2040"/>
    <w:rsid w:val="006C45BB"/>
    <w:rsid w:val="006C5656"/>
    <w:rsid w:val="006C7409"/>
    <w:rsid w:val="006C7772"/>
    <w:rsid w:val="006D1871"/>
    <w:rsid w:val="006D36A3"/>
    <w:rsid w:val="006E33B7"/>
    <w:rsid w:val="006E3CE7"/>
    <w:rsid w:val="006E66AA"/>
    <w:rsid w:val="006F4A49"/>
    <w:rsid w:val="006F5417"/>
    <w:rsid w:val="006F6805"/>
    <w:rsid w:val="007014C2"/>
    <w:rsid w:val="00702429"/>
    <w:rsid w:val="00702BB2"/>
    <w:rsid w:val="00702CA8"/>
    <w:rsid w:val="00703D34"/>
    <w:rsid w:val="00711ACC"/>
    <w:rsid w:val="00711F3E"/>
    <w:rsid w:val="0071220C"/>
    <w:rsid w:val="007141D9"/>
    <w:rsid w:val="00715181"/>
    <w:rsid w:val="00716522"/>
    <w:rsid w:val="00717BC8"/>
    <w:rsid w:val="007200ED"/>
    <w:rsid w:val="00722379"/>
    <w:rsid w:val="0072257C"/>
    <w:rsid w:val="00722AA6"/>
    <w:rsid w:val="00722DCC"/>
    <w:rsid w:val="00722F25"/>
    <w:rsid w:val="00722F43"/>
    <w:rsid w:val="00725669"/>
    <w:rsid w:val="007264CB"/>
    <w:rsid w:val="00732461"/>
    <w:rsid w:val="007349E1"/>
    <w:rsid w:val="00735B69"/>
    <w:rsid w:val="00744735"/>
    <w:rsid w:val="00744AA2"/>
    <w:rsid w:val="007450DE"/>
    <w:rsid w:val="00751E58"/>
    <w:rsid w:val="00752033"/>
    <w:rsid w:val="007556EE"/>
    <w:rsid w:val="00755DDE"/>
    <w:rsid w:val="0075727C"/>
    <w:rsid w:val="007620AB"/>
    <w:rsid w:val="0076212E"/>
    <w:rsid w:val="0076376D"/>
    <w:rsid w:val="007639EC"/>
    <w:rsid w:val="00764070"/>
    <w:rsid w:val="00764494"/>
    <w:rsid w:val="007733EB"/>
    <w:rsid w:val="00774126"/>
    <w:rsid w:val="00774626"/>
    <w:rsid w:val="0077533E"/>
    <w:rsid w:val="00776728"/>
    <w:rsid w:val="00780442"/>
    <w:rsid w:val="0078139A"/>
    <w:rsid w:val="007832A5"/>
    <w:rsid w:val="00784740"/>
    <w:rsid w:val="00791664"/>
    <w:rsid w:val="007933FB"/>
    <w:rsid w:val="0079574E"/>
    <w:rsid w:val="00796DA0"/>
    <w:rsid w:val="00796F05"/>
    <w:rsid w:val="007A1E29"/>
    <w:rsid w:val="007A3CA3"/>
    <w:rsid w:val="007B2C3B"/>
    <w:rsid w:val="007B384E"/>
    <w:rsid w:val="007B490E"/>
    <w:rsid w:val="007B5BEC"/>
    <w:rsid w:val="007C1402"/>
    <w:rsid w:val="007C31C0"/>
    <w:rsid w:val="007C3998"/>
    <w:rsid w:val="007C5741"/>
    <w:rsid w:val="007C5AAC"/>
    <w:rsid w:val="007D12FB"/>
    <w:rsid w:val="007D1B9B"/>
    <w:rsid w:val="007D3EFF"/>
    <w:rsid w:val="007D7222"/>
    <w:rsid w:val="007D725A"/>
    <w:rsid w:val="007D7676"/>
    <w:rsid w:val="007E2D93"/>
    <w:rsid w:val="007E56F0"/>
    <w:rsid w:val="007E63FD"/>
    <w:rsid w:val="007F0C4E"/>
    <w:rsid w:val="007F214E"/>
    <w:rsid w:val="007F27EB"/>
    <w:rsid w:val="007F5E30"/>
    <w:rsid w:val="007F6F05"/>
    <w:rsid w:val="008000BE"/>
    <w:rsid w:val="00800B90"/>
    <w:rsid w:val="008012A0"/>
    <w:rsid w:val="00801755"/>
    <w:rsid w:val="00803850"/>
    <w:rsid w:val="008050A0"/>
    <w:rsid w:val="008055A3"/>
    <w:rsid w:val="00805E02"/>
    <w:rsid w:val="008126EC"/>
    <w:rsid w:val="008129B4"/>
    <w:rsid w:val="00813113"/>
    <w:rsid w:val="00813AD5"/>
    <w:rsid w:val="008225AD"/>
    <w:rsid w:val="00824D8B"/>
    <w:rsid w:val="00826F14"/>
    <w:rsid w:val="008307A2"/>
    <w:rsid w:val="008309D7"/>
    <w:rsid w:val="00831EC2"/>
    <w:rsid w:val="008356A8"/>
    <w:rsid w:val="0084060D"/>
    <w:rsid w:val="008411CB"/>
    <w:rsid w:val="008419A2"/>
    <w:rsid w:val="0084332D"/>
    <w:rsid w:val="00843D5F"/>
    <w:rsid w:val="0084473D"/>
    <w:rsid w:val="008561A3"/>
    <w:rsid w:val="00857D49"/>
    <w:rsid w:val="0086145E"/>
    <w:rsid w:val="00874AD6"/>
    <w:rsid w:val="00874B42"/>
    <w:rsid w:val="00877449"/>
    <w:rsid w:val="008778C8"/>
    <w:rsid w:val="00877B59"/>
    <w:rsid w:val="00881FED"/>
    <w:rsid w:val="00883F8A"/>
    <w:rsid w:val="00893220"/>
    <w:rsid w:val="008A38E7"/>
    <w:rsid w:val="008A392D"/>
    <w:rsid w:val="008A48DD"/>
    <w:rsid w:val="008A6385"/>
    <w:rsid w:val="008A652B"/>
    <w:rsid w:val="008A76B2"/>
    <w:rsid w:val="008B04AD"/>
    <w:rsid w:val="008B72A8"/>
    <w:rsid w:val="008C5B73"/>
    <w:rsid w:val="008D2961"/>
    <w:rsid w:val="008D688E"/>
    <w:rsid w:val="008E0865"/>
    <w:rsid w:val="008E1483"/>
    <w:rsid w:val="008E3563"/>
    <w:rsid w:val="008E613F"/>
    <w:rsid w:val="008E6C29"/>
    <w:rsid w:val="008E7D2F"/>
    <w:rsid w:val="008F158C"/>
    <w:rsid w:val="008F5411"/>
    <w:rsid w:val="008F6B8E"/>
    <w:rsid w:val="009003C1"/>
    <w:rsid w:val="00901472"/>
    <w:rsid w:val="00904067"/>
    <w:rsid w:val="00905075"/>
    <w:rsid w:val="00905440"/>
    <w:rsid w:val="00905C9F"/>
    <w:rsid w:val="009063DE"/>
    <w:rsid w:val="00910250"/>
    <w:rsid w:val="0091048F"/>
    <w:rsid w:val="00911546"/>
    <w:rsid w:val="00911B11"/>
    <w:rsid w:val="009133BC"/>
    <w:rsid w:val="00914AF6"/>
    <w:rsid w:val="009163CA"/>
    <w:rsid w:val="00916664"/>
    <w:rsid w:val="009204E5"/>
    <w:rsid w:val="00920C23"/>
    <w:rsid w:val="00922CCC"/>
    <w:rsid w:val="00926DF8"/>
    <w:rsid w:val="00927614"/>
    <w:rsid w:val="00932C1D"/>
    <w:rsid w:val="00937199"/>
    <w:rsid w:val="00937E96"/>
    <w:rsid w:val="00943376"/>
    <w:rsid w:val="0094544B"/>
    <w:rsid w:val="00947011"/>
    <w:rsid w:val="00951144"/>
    <w:rsid w:val="009524FD"/>
    <w:rsid w:val="00954E18"/>
    <w:rsid w:val="00957B91"/>
    <w:rsid w:val="00962C3B"/>
    <w:rsid w:val="00964FE5"/>
    <w:rsid w:val="00966CDC"/>
    <w:rsid w:val="0097283A"/>
    <w:rsid w:val="00972FED"/>
    <w:rsid w:val="00973027"/>
    <w:rsid w:val="009740B6"/>
    <w:rsid w:val="00983BFD"/>
    <w:rsid w:val="00984903"/>
    <w:rsid w:val="00984DBF"/>
    <w:rsid w:val="009854DD"/>
    <w:rsid w:val="00992AC5"/>
    <w:rsid w:val="009A5868"/>
    <w:rsid w:val="009A72D1"/>
    <w:rsid w:val="009B3AA8"/>
    <w:rsid w:val="009B4482"/>
    <w:rsid w:val="009B7476"/>
    <w:rsid w:val="009C3738"/>
    <w:rsid w:val="009C4CBD"/>
    <w:rsid w:val="009C4D0F"/>
    <w:rsid w:val="009C5C14"/>
    <w:rsid w:val="009C75B6"/>
    <w:rsid w:val="009D22A0"/>
    <w:rsid w:val="009E34A7"/>
    <w:rsid w:val="009E5652"/>
    <w:rsid w:val="009E72F7"/>
    <w:rsid w:val="009E7AC4"/>
    <w:rsid w:val="009F0322"/>
    <w:rsid w:val="009F5661"/>
    <w:rsid w:val="00A02442"/>
    <w:rsid w:val="00A03629"/>
    <w:rsid w:val="00A05E5B"/>
    <w:rsid w:val="00A07BF0"/>
    <w:rsid w:val="00A12CFB"/>
    <w:rsid w:val="00A14186"/>
    <w:rsid w:val="00A15695"/>
    <w:rsid w:val="00A204F7"/>
    <w:rsid w:val="00A21584"/>
    <w:rsid w:val="00A225C6"/>
    <w:rsid w:val="00A272ED"/>
    <w:rsid w:val="00A275E5"/>
    <w:rsid w:val="00A27EDA"/>
    <w:rsid w:val="00A303A9"/>
    <w:rsid w:val="00A35769"/>
    <w:rsid w:val="00A416B6"/>
    <w:rsid w:val="00A437EA"/>
    <w:rsid w:val="00A45BF1"/>
    <w:rsid w:val="00A5175A"/>
    <w:rsid w:val="00A536DE"/>
    <w:rsid w:val="00A552F3"/>
    <w:rsid w:val="00A576FD"/>
    <w:rsid w:val="00A62D25"/>
    <w:rsid w:val="00A630D3"/>
    <w:rsid w:val="00A63E52"/>
    <w:rsid w:val="00A640A8"/>
    <w:rsid w:val="00A67EAD"/>
    <w:rsid w:val="00A705D4"/>
    <w:rsid w:val="00A71406"/>
    <w:rsid w:val="00A7436E"/>
    <w:rsid w:val="00A74870"/>
    <w:rsid w:val="00A778D9"/>
    <w:rsid w:val="00A77B3B"/>
    <w:rsid w:val="00A77DA5"/>
    <w:rsid w:val="00A80B78"/>
    <w:rsid w:val="00A80F7C"/>
    <w:rsid w:val="00A822AB"/>
    <w:rsid w:val="00A8620C"/>
    <w:rsid w:val="00A90A49"/>
    <w:rsid w:val="00A913F8"/>
    <w:rsid w:val="00A9198C"/>
    <w:rsid w:val="00A91D52"/>
    <w:rsid w:val="00A93385"/>
    <w:rsid w:val="00AA0E10"/>
    <w:rsid w:val="00AA53F6"/>
    <w:rsid w:val="00AA5787"/>
    <w:rsid w:val="00AA6426"/>
    <w:rsid w:val="00AA7338"/>
    <w:rsid w:val="00AA769F"/>
    <w:rsid w:val="00AA79F0"/>
    <w:rsid w:val="00AB3CA6"/>
    <w:rsid w:val="00AB5833"/>
    <w:rsid w:val="00AB5D81"/>
    <w:rsid w:val="00AB6267"/>
    <w:rsid w:val="00AB6BF6"/>
    <w:rsid w:val="00AB7CD6"/>
    <w:rsid w:val="00AC23A7"/>
    <w:rsid w:val="00AC56A8"/>
    <w:rsid w:val="00AC6367"/>
    <w:rsid w:val="00AC724E"/>
    <w:rsid w:val="00AD56F8"/>
    <w:rsid w:val="00AD595D"/>
    <w:rsid w:val="00AE0BBC"/>
    <w:rsid w:val="00AE47A1"/>
    <w:rsid w:val="00AF1D58"/>
    <w:rsid w:val="00AF1E7E"/>
    <w:rsid w:val="00AF2564"/>
    <w:rsid w:val="00AF390A"/>
    <w:rsid w:val="00AF395D"/>
    <w:rsid w:val="00AF5FE5"/>
    <w:rsid w:val="00B00139"/>
    <w:rsid w:val="00B05CB3"/>
    <w:rsid w:val="00B07913"/>
    <w:rsid w:val="00B10FF2"/>
    <w:rsid w:val="00B14993"/>
    <w:rsid w:val="00B177B7"/>
    <w:rsid w:val="00B22408"/>
    <w:rsid w:val="00B2360F"/>
    <w:rsid w:val="00B27E0C"/>
    <w:rsid w:val="00B316AA"/>
    <w:rsid w:val="00B32DF1"/>
    <w:rsid w:val="00B33377"/>
    <w:rsid w:val="00B33753"/>
    <w:rsid w:val="00B339BA"/>
    <w:rsid w:val="00B34C17"/>
    <w:rsid w:val="00B35314"/>
    <w:rsid w:val="00B361FA"/>
    <w:rsid w:val="00B41A21"/>
    <w:rsid w:val="00B44347"/>
    <w:rsid w:val="00B46924"/>
    <w:rsid w:val="00B477C6"/>
    <w:rsid w:val="00B5127F"/>
    <w:rsid w:val="00B5280A"/>
    <w:rsid w:val="00B566FD"/>
    <w:rsid w:val="00B57AAE"/>
    <w:rsid w:val="00B60E40"/>
    <w:rsid w:val="00B614C6"/>
    <w:rsid w:val="00B61E55"/>
    <w:rsid w:val="00B7165F"/>
    <w:rsid w:val="00B74600"/>
    <w:rsid w:val="00B74998"/>
    <w:rsid w:val="00B7786F"/>
    <w:rsid w:val="00B8089A"/>
    <w:rsid w:val="00B8263C"/>
    <w:rsid w:val="00B84878"/>
    <w:rsid w:val="00B8491C"/>
    <w:rsid w:val="00B864E9"/>
    <w:rsid w:val="00B8787B"/>
    <w:rsid w:val="00B87922"/>
    <w:rsid w:val="00B908E4"/>
    <w:rsid w:val="00B933AD"/>
    <w:rsid w:val="00B94C05"/>
    <w:rsid w:val="00B9569A"/>
    <w:rsid w:val="00B97D0B"/>
    <w:rsid w:val="00BA1575"/>
    <w:rsid w:val="00BA1B51"/>
    <w:rsid w:val="00BA21CB"/>
    <w:rsid w:val="00BA29D7"/>
    <w:rsid w:val="00BB0673"/>
    <w:rsid w:val="00BC020D"/>
    <w:rsid w:val="00BC44BA"/>
    <w:rsid w:val="00BC54F9"/>
    <w:rsid w:val="00BC595E"/>
    <w:rsid w:val="00BC5B68"/>
    <w:rsid w:val="00BC7EB2"/>
    <w:rsid w:val="00BD0E58"/>
    <w:rsid w:val="00BD2C2F"/>
    <w:rsid w:val="00BD2CF7"/>
    <w:rsid w:val="00BD50C7"/>
    <w:rsid w:val="00BD575C"/>
    <w:rsid w:val="00BD7DB9"/>
    <w:rsid w:val="00BE0A85"/>
    <w:rsid w:val="00BE1515"/>
    <w:rsid w:val="00BE2523"/>
    <w:rsid w:val="00BE382C"/>
    <w:rsid w:val="00BE3F1B"/>
    <w:rsid w:val="00BE469D"/>
    <w:rsid w:val="00BE5AE4"/>
    <w:rsid w:val="00BE77FA"/>
    <w:rsid w:val="00BF44FD"/>
    <w:rsid w:val="00BF6E14"/>
    <w:rsid w:val="00BF6FE2"/>
    <w:rsid w:val="00BF7CB3"/>
    <w:rsid w:val="00C04AD7"/>
    <w:rsid w:val="00C07EE8"/>
    <w:rsid w:val="00C103A1"/>
    <w:rsid w:val="00C17A94"/>
    <w:rsid w:val="00C23C73"/>
    <w:rsid w:val="00C25035"/>
    <w:rsid w:val="00C26593"/>
    <w:rsid w:val="00C2736A"/>
    <w:rsid w:val="00C352F7"/>
    <w:rsid w:val="00C359B7"/>
    <w:rsid w:val="00C371D1"/>
    <w:rsid w:val="00C37709"/>
    <w:rsid w:val="00C429BC"/>
    <w:rsid w:val="00C43BC5"/>
    <w:rsid w:val="00C44925"/>
    <w:rsid w:val="00C47485"/>
    <w:rsid w:val="00C477D1"/>
    <w:rsid w:val="00C5032D"/>
    <w:rsid w:val="00C50F4F"/>
    <w:rsid w:val="00C51070"/>
    <w:rsid w:val="00C52FE9"/>
    <w:rsid w:val="00C61E9A"/>
    <w:rsid w:val="00C630C2"/>
    <w:rsid w:val="00C65BE8"/>
    <w:rsid w:val="00C673F9"/>
    <w:rsid w:val="00C676E8"/>
    <w:rsid w:val="00C70107"/>
    <w:rsid w:val="00C74360"/>
    <w:rsid w:val="00C754A0"/>
    <w:rsid w:val="00C75D9B"/>
    <w:rsid w:val="00C8061C"/>
    <w:rsid w:val="00C8070A"/>
    <w:rsid w:val="00C827FB"/>
    <w:rsid w:val="00C915DF"/>
    <w:rsid w:val="00C97850"/>
    <w:rsid w:val="00CA0B26"/>
    <w:rsid w:val="00CA19FF"/>
    <w:rsid w:val="00CA2078"/>
    <w:rsid w:val="00CA3888"/>
    <w:rsid w:val="00CA3AE0"/>
    <w:rsid w:val="00CA5CE3"/>
    <w:rsid w:val="00CA61C6"/>
    <w:rsid w:val="00CB0B28"/>
    <w:rsid w:val="00CB18D5"/>
    <w:rsid w:val="00CB53D0"/>
    <w:rsid w:val="00CB6086"/>
    <w:rsid w:val="00CC1051"/>
    <w:rsid w:val="00CC6FB9"/>
    <w:rsid w:val="00CD3967"/>
    <w:rsid w:val="00CD5292"/>
    <w:rsid w:val="00CD5BB8"/>
    <w:rsid w:val="00CE1026"/>
    <w:rsid w:val="00CE29D0"/>
    <w:rsid w:val="00CE2A6C"/>
    <w:rsid w:val="00CE38AA"/>
    <w:rsid w:val="00CE799E"/>
    <w:rsid w:val="00CF173A"/>
    <w:rsid w:val="00CF365D"/>
    <w:rsid w:val="00D00EC1"/>
    <w:rsid w:val="00D01145"/>
    <w:rsid w:val="00D022EA"/>
    <w:rsid w:val="00D03BF4"/>
    <w:rsid w:val="00D04A70"/>
    <w:rsid w:val="00D053A5"/>
    <w:rsid w:val="00D06A27"/>
    <w:rsid w:val="00D06CB1"/>
    <w:rsid w:val="00D16C06"/>
    <w:rsid w:val="00D21B74"/>
    <w:rsid w:val="00D22E82"/>
    <w:rsid w:val="00D3109B"/>
    <w:rsid w:val="00D32235"/>
    <w:rsid w:val="00D32BB5"/>
    <w:rsid w:val="00D358C8"/>
    <w:rsid w:val="00D35B0F"/>
    <w:rsid w:val="00D37974"/>
    <w:rsid w:val="00D37AAB"/>
    <w:rsid w:val="00D4042B"/>
    <w:rsid w:val="00D450C1"/>
    <w:rsid w:val="00D463A9"/>
    <w:rsid w:val="00D52583"/>
    <w:rsid w:val="00D55DF4"/>
    <w:rsid w:val="00D60C8C"/>
    <w:rsid w:val="00D64C98"/>
    <w:rsid w:val="00D66F0C"/>
    <w:rsid w:val="00D7095E"/>
    <w:rsid w:val="00D72CAC"/>
    <w:rsid w:val="00D8096A"/>
    <w:rsid w:val="00D842F3"/>
    <w:rsid w:val="00D85D76"/>
    <w:rsid w:val="00D87838"/>
    <w:rsid w:val="00D93BC6"/>
    <w:rsid w:val="00D93CBF"/>
    <w:rsid w:val="00D95A84"/>
    <w:rsid w:val="00D97A87"/>
    <w:rsid w:val="00DA0673"/>
    <w:rsid w:val="00DA1897"/>
    <w:rsid w:val="00DA2051"/>
    <w:rsid w:val="00DA492F"/>
    <w:rsid w:val="00DA588D"/>
    <w:rsid w:val="00DB1147"/>
    <w:rsid w:val="00DB3616"/>
    <w:rsid w:val="00DB3C97"/>
    <w:rsid w:val="00DB6B36"/>
    <w:rsid w:val="00DD0B11"/>
    <w:rsid w:val="00DD157B"/>
    <w:rsid w:val="00DD291D"/>
    <w:rsid w:val="00DD3498"/>
    <w:rsid w:val="00DD4E4E"/>
    <w:rsid w:val="00DD5B37"/>
    <w:rsid w:val="00DD6DF8"/>
    <w:rsid w:val="00DE3B53"/>
    <w:rsid w:val="00DF7060"/>
    <w:rsid w:val="00E018A5"/>
    <w:rsid w:val="00E02DD8"/>
    <w:rsid w:val="00E03494"/>
    <w:rsid w:val="00E04FD8"/>
    <w:rsid w:val="00E055E3"/>
    <w:rsid w:val="00E10267"/>
    <w:rsid w:val="00E1248C"/>
    <w:rsid w:val="00E12BE7"/>
    <w:rsid w:val="00E17CCC"/>
    <w:rsid w:val="00E21C06"/>
    <w:rsid w:val="00E222E8"/>
    <w:rsid w:val="00E2717F"/>
    <w:rsid w:val="00E3198F"/>
    <w:rsid w:val="00E3212D"/>
    <w:rsid w:val="00E32AA9"/>
    <w:rsid w:val="00E350E6"/>
    <w:rsid w:val="00E35600"/>
    <w:rsid w:val="00E35B6B"/>
    <w:rsid w:val="00E35DCE"/>
    <w:rsid w:val="00E36D47"/>
    <w:rsid w:val="00E43168"/>
    <w:rsid w:val="00E44A97"/>
    <w:rsid w:val="00E46B84"/>
    <w:rsid w:val="00E4758E"/>
    <w:rsid w:val="00E52AB4"/>
    <w:rsid w:val="00E53057"/>
    <w:rsid w:val="00E6085F"/>
    <w:rsid w:val="00E628B6"/>
    <w:rsid w:val="00E62D82"/>
    <w:rsid w:val="00E63C58"/>
    <w:rsid w:val="00E64113"/>
    <w:rsid w:val="00E6659E"/>
    <w:rsid w:val="00E70D0D"/>
    <w:rsid w:val="00E716AD"/>
    <w:rsid w:val="00E7179C"/>
    <w:rsid w:val="00E71E8A"/>
    <w:rsid w:val="00E71F08"/>
    <w:rsid w:val="00E71F34"/>
    <w:rsid w:val="00E81028"/>
    <w:rsid w:val="00E82D60"/>
    <w:rsid w:val="00E84C8D"/>
    <w:rsid w:val="00E92380"/>
    <w:rsid w:val="00E96DB8"/>
    <w:rsid w:val="00E97F26"/>
    <w:rsid w:val="00EA08D0"/>
    <w:rsid w:val="00EA1A60"/>
    <w:rsid w:val="00EA315C"/>
    <w:rsid w:val="00EA6747"/>
    <w:rsid w:val="00EA7FF3"/>
    <w:rsid w:val="00EB31B4"/>
    <w:rsid w:val="00EB413C"/>
    <w:rsid w:val="00EC15CD"/>
    <w:rsid w:val="00EC4071"/>
    <w:rsid w:val="00EC5341"/>
    <w:rsid w:val="00EC5894"/>
    <w:rsid w:val="00EF0F24"/>
    <w:rsid w:val="00EF0FBD"/>
    <w:rsid w:val="00EF20F2"/>
    <w:rsid w:val="00EF60A5"/>
    <w:rsid w:val="00EF6875"/>
    <w:rsid w:val="00EF7763"/>
    <w:rsid w:val="00F02B9D"/>
    <w:rsid w:val="00F036C0"/>
    <w:rsid w:val="00F070D0"/>
    <w:rsid w:val="00F1059E"/>
    <w:rsid w:val="00F1062B"/>
    <w:rsid w:val="00F10FA0"/>
    <w:rsid w:val="00F141EA"/>
    <w:rsid w:val="00F14CFD"/>
    <w:rsid w:val="00F15F42"/>
    <w:rsid w:val="00F27A07"/>
    <w:rsid w:val="00F31F2E"/>
    <w:rsid w:val="00F3623B"/>
    <w:rsid w:val="00F37C86"/>
    <w:rsid w:val="00F422EE"/>
    <w:rsid w:val="00F42CF4"/>
    <w:rsid w:val="00F45CF8"/>
    <w:rsid w:val="00F462BA"/>
    <w:rsid w:val="00F4695C"/>
    <w:rsid w:val="00F5415B"/>
    <w:rsid w:val="00F65ED7"/>
    <w:rsid w:val="00F66AB3"/>
    <w:rsid w:val="00F7596E"/>
    <w:rsid w:val="00F8417F"/>
    <w:rsid w:val="00F86A8E"/>
    <w:rsid w:val="00F90A23"/>
    <w:rsid w:val="00F91DD2"/>
    <w:rsid w:val="00F92761"/>
    <w:rsid w:val="00F94159"/>
    <w:rsid w:val="00F9422E"/>
    <w:rsid w:val="00F94ED4"/>
    <w:rsid w:val="00F96B0A"/>
    <w:rsid w:val="00FA31AA"/>
    <w:rsid w:val="00FA33F1"/>
    <w:rsid w:val="00FA475D"/>
    <w:rsid w:val="00FA6D59"/>
    <w:rsid w:val="00FA73EF"/>
    <w:rsid w:val="00FA7BCF"/>
    <w:rsid w:val="00FB0278"/>
    <w:rsid w:val="00FB03B4"/>
    <w:rsid w:val="00FB11FF"/>
    <w:rsid w:val="00FB4CB6"/>
    <w:rsid w:val="00FB7842"/>
    <w:rsid w:val="00FC3914"/>
    <w:rsid w:val="00FD2D73"/>
    <w:rsid w:val="00FD3CCA"/>
    <w:rsid w:val="00FD4D02"/>
    <w:rsid w:val="00FD73F9"/>
    <w:rsid w:val="00FD7656"/>
    <w:rsid w:val="00FE0DA4"/>
    <w:rsid w:val="00FE12C9"/>
    <w:rsid w:val="00FE63C2"/>
    <w:rsid w:val="00FE6567"/>
    <w:rsid w:val="00FF61C3"/>
    <w:rsid w:val="00FF635B"/>
    <w:rsid w:val="00FF663E"/>
    <w:rsid w:val="035C6B10"/>
    <w:rsid w:val="07B20F6D"/>
    <w:rsid w:val="08F22310"/>
    <w:rsid w:val="0A892B70"/>
    <w:rsid w:val="0AE46124"/>
    <w:rsid w:val="0B070D72"/>
    <w:rsid w:val="0BF81868"/>
    <w:rsid w:val="0CB40DE6"/>
    <w:rsid w:val="0D485C6D"/>
    <w:rsid w:val="0DCB608A"/>
    <w:rsid w:val="0DCC632A"/>
    <w:rsid w:val="11225029"/>
    <w:rsid w:val="114C2AD0"/>
    <w:rsid w:val="13953170"/>
    <w:rsid w:val="150F1CC1"/>
    <w:rsid w:val="17E832D2"/>
    <w:rsid w:val="18BE10E1"/>
    <w:rsid w:val="199E2BAF"/>
    <w:rsid w:val="1C4D6B4A"/>
    <w:rsid w:val="1CE369D3"/>
    <w:rsid w:val="256B7C3C"/>
    <w:rsid w:val="25B407CB"/>
    <w:rsid w:val="2882583F"/>
    <w:rsid w:val="2890546A"/>
    <w:rsid w:val="28AA4C8C"/>
    <w:rsid w:val="2C0249DE"/>
    <w:rsid w:val="2C135BA6"/>
    <w:rsid w:val="2D1B08F2"/>
    <w:rsid w:val="2EF91E2A"/>
    <w:rsid w:val="31ED3847"/>
    <w:rsid w:val="36F55639"/>
    <w:rsid w:val="37281286"/>
    <w:rsid w:val="394A4F7D"/>
    <w:rsid w:val="39BA3AAC"/>
    <w:rsid w:val="3A7C306D"/>
    <w:rsid w:val="3B557B36"/>
    <w:rsid w:val="3B615F63"/>
    <w:rsid w:val="3D26177B"/>
    <w:rsid w:val="3DC645F5"/>
    <w:rsid w:val="40E90548"/>
    <w:rsid w:val="410460A0"/>
    <w:rsid w:val="437150E6"/>
    <w:rsid w:val="43A23DD3"/>
    <w:rsid w:val="448752F6"/>
    <w:rsid w:val="45827F0C"/>
    <w:rsid w:val="459F0946"/>
    <w:rsid w:val="46667111"/>
    <w:rsid w:val="46BA3DD4"/>
    <w:rsid w:val="480466DD"/>
    <w:rsid w:val="48877967"/>
    <w:rsid w:val="48B83E39"/>
    <w:rsid w:val="492661D5"/>
    <w:rsid w:val="49456EB1"/>
    <w:rsid w:val="4A211AF6"/>
    <w:rsid w:val="4C12252C"/>
    <w:rsid w:val="4CBC6B75"/>
    <w:rsid w:val="4D0351FB"/>
    <w:rsid w:val="4FA800B1"/>
    <w:rsid w:val="507D4859"/>
    <w:rsid w:val="50B22C7E"/>
    <w:rsid w:val="511C27BE"/>
    <w:rsid w:val="517174DB"/>
    <w:rsid w:val="51C5317B"/>
    <w:rsid w:val="52EE2D4E"/>
    <w:rsid w:val="531131EA"/>
    <w:rsid w:val="53B957FE"/>
    <w:rsid w:val="547F7A92"/>
    <w:rsid w:val="54CA6068"/>
    <w:rsid w:val="55861A89"/>
    <w:rsid w:val="569F4D86"/>
    <w:rsid w:val="56C44AAA"/>
    <w:rsid w:val="5756142C"/>
    <w:rsid w:val="57FF3520"/>
    <w:rsid w:val="585B30D2"/>
    <w:rsid w:val="585B7ADD"/>
    <w:rsid w:val="58A272C8"/>
    <w:rsid w:val="59656DA6"/>
    <w:rsid w:val="5A184997"/>
    <w:rsid w:val="5B256C66"/>
    <w:rsid w:val="5B4F2B6D"/>
    <w:rsid w:val="5C7517ED"/>
    <w:rsid w:val="5DA55EF8"/>
    <w:rsid w:val="60E84350"/>
    <w:rsid w:val="612215BD"/>
    <w:rsid w:val="616012AC"/>
    <w:rsid w:val="63486E65"/>
    <w:rsid w:val="6557034A"/>
    <w:rsid w:val="659C3869"/>
    <w:rsid w:val="6812734C"/>
    <w:rsid w:val="6A115F93"/>
    <w:rsid w:val="6B726158"/>
    <w:rsid w:val="6C762E7E"/>
    <w:rsid w:val="6EDE743A"/>
    <w:rsid w:val="731C6D76"/>
    <w:rsid w:val="73300323"/>
    <w:rsid w:val="74895A9B"/>
    <w:rsid w:val="75375BFA"/>
    <w:rsid w:val="759C09B9"/>
    <w:rsid w:val="75CC4F23"/>
    <w:rsid w:val="75F670F6"/>
    <w:rsid w:val="79C1605A"/>
    <w:rsid w:val="7BF329B2"/>
    <w:rsid w:val="7C5234E9"/>
    <w:rsid w:val="7E5A5584"/>
    <w:rsid w:val="7E8A1B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paragraph" w:styleId="2">
    <w:name w:val="heading 4"/>
    <w:basedOn w:val="1"/>
    <w:next w:val="1"/>
    <w:qFormat/>
    <w:uiPriority w:val="9"/>
    <w:pPr>
      <w:keepNext/>
      <w:keepLines/>
      <w:spacing w:before="60" w:line="360" w:lineRule="auto"/>
      <w:outlineLvl w:val="3"/>
    </w:pPr>
    <w:rPr>
      <w:rFonts w:asciiTheme="minorEastAsia" w:hAnsiTheme="minorEastAsia" w:eastAsiaTheme="minorEastAsia"/>
      <w:b/>
      <w:bCs/>
      <w:szCs w:val="28"/>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3"/>
    <w:semiHidden/>
    <w:unhideWhenUsed/>
    <w:qFormat/>
    <w:uiPriority w:val="99"/>
    <w:rPr>
      <w:rFonts w:ascii="Courier New" w:hAnsi="Courier New" w:cs="Courier New"/>
      <w:sz w:val="20"/>
      <w:szCs w:val="20"/>
    </w:rPr>
  </w:style>
  <w:style w:type="paragraph" w:styleId="8">
    <w:name w:val="Normal (Web)"/>
    <w:basedOn w:val="1"/>
    <w:autoRedefine/>
    <w:qFormat/>
    <w:uiPriority w:val="0"/>
    <w:pPr>
      <w:spacing w:beforeAutospacing="1" w:afterAutospacing="1"/>
      <w:jc w:val="left"/>
    </w:pPr>
    <w:rPr>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autoRedefine/>
    <w:qFormat/>
    <w:uiPriority w:val="0"/>
  </w:style>
  <w:style w:type="character" w:styleId="14">
    <w:name w:val="Hyperlink"/>
    <w:basedOn w:val="11"/>
    <w:semiHidden/>
    <w:unhideWhenUsed/>
    <w:qFormat/>
    <w:uiPriority w:val="99"/>
    <w:rPr>
      <w:color w:val="0000FF"/>
      <w:u w:val="single"/>
    </w:rPr>
  </w:style>
  <w:style w:type="character" w:customStyle="1" w:styleId="15">
    <w:name w:val="页眉 字符"/>
    <w:link w:val="6"/>
    <w:autoRedefine/>
    <w:qFormat/>
    <w:uiPriority w:val="99"/>
    <w:rPr>
      <w:sz w:val="18"/>
      <w:szCs w:val="18"/>
    </w:rPr>
  </w:style>
  <w:style w:type="character" w:customStyle="1" w:styleId="16">
    <w:name w:val="页脚 字符"/>
    <w:link w:val="5"/>
    <w:autoRedefine/>
    <w:qFormat/>
    <w:uiPriority w:val="99"/>
    <w:rPr>
      <w:sz w:val="18"/>
      <w:szCs w:val="18"/>
    </w:rPr>
  </w:style>
  <w:style w:type="paragraph" w:customStyle="1" w:styleId="17">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autoRedefine/>
    <w:qFormat/>
    <w:uiPriority w:val="34"/>
    <w:pPr>
      <w:ind w:firstLine="420" w:firstLineChars="200"/>
    </w:pPr>
    <w:rPr>
      <w:rFonts w:ascii="等线" w:hAnsi="等线" w:eastAsia="等线"/>
      <w:szCs w:val="22"/>
    </w:rPr>
  </w:style>
  <w:style w:type="character" w:customStyle="1" w:styleId="19">
    <w:name w:val="sh-highlight"/>
    <w:basedOn w:val="11"/>
    <w:autoRedefine/>
    <w:qFormat/>
    <w:uiPriority w:val="0"/>
  </w:style>
  <w:style w:type="paragraph" w:customStyle="1" w:styleId="20">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1">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2">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HTML 预设格式 字符"/>
    <w:basedOn w:val="11"/>
    <w:link w:val="7"/>
    <w:semiHidden/>
    <w:qFormat/>
    <w:uiPriority w:val="99"/>
    <w:rPr>
      <w:rFonts w:ascii="Courier New" w:hAnsi="Courier New" w:cs="Courier New"/>
      <w:kern w:val="2"/>
    </w:rPr>
  </w:style>
  <w:style w:type="paragraph" w:customStyle="1" w:styleId="2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26">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27">
    <w:name w:val="修订7"/>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F122-31ED-4280-8E03-AFCF398098CC}">
  <ds:schemaRefs/>
</ds:datastoreItem>
</file>

<file path=docProps/app.xml><?xml version="1.0" encoding="utf-8"?>
<Properties xmlns="http://schemas.openxmlformats.org/officeDocument/2006/extended-properties" xmlns:vt="http://schemas.openxmlformats.org/officeDocument/2006/docPropsVTypes">
  <Template>Normal</Template>
  <Pages>4</Pages>
  <Words>1976</Words>
  <Characters>2062</Characters>
  <Lines>291</Lines>
  <Paragraphs>128</Paragraphs>
  <TotalTime>12</TotalTime>
  <ScaleCrop>false</ScaleCrop>
  <LinksUpToDate>false</LinksUpToDate>
  <CharactersWithSpaces>2135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2025-06-03T03:08:00Z</dcterms:created>
  <dc:creator>Yun</dc:creator>
  <cp:lastModifiedBy>余悦</cp:lastModifiedBy>
  <dcterms:modified xsi:type="dcterms:W3CDTF">2025-11-07T08:26:16Z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3CB74C8527A54481B0EE99624EF160C6_13</vt:lpwstr>
  </property>
  <property fmtid="{D5CDD505-2E9C-101B-9397-08002B2CF9AE}" pid="4" name="KSOTemplateDocerSaveRecord">
    <vt:lpwstr>eyJoZGlkIjoiNjljN2I1NWE2YjJkN2ViZTMxOTEwN2E5NWYyYjJkYzciLCJ1c2VySWQiOiIxMjYwMTIwNTkzIn0=</vt:lpwstr>
  </property>
</Properties>
</file>