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0881" w14:textId="2D5AEAE9" w:rsidR="00615EA2" w:rsidRPr="00615EA2" w:rsidRDefault="00615EA2" w:rsidP="00615EA2">
      <w:pPr>
        <w:spacing w:beforeLines="50" w:before="156" w:afterLines="50" w:after="156" w:line="400" w:lineRule="exac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688566                               </w:t>
      </w:r>
      <w:r w:rsidR="00E25D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</w:t>
      </w: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证券简称：吉贝尔</w:t>
      </w:r>
    </w:p>
    <w:p w14:paraId="12E1417D" w14:textId="77777777" w:rsidR="003C5F4C" w:rsidRDefault="00615EA2" w:rsidP="00615EA2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bookmarkStart w:id="0" w:name="_Hlk44675598"/>
      <w:r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江苏吉贝尔药业</w:t>
      </w:r>
      <w:r w:rsidRPr="00615EA2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股份有限公司</w:t>
      </w:r>
    </w:p>
    <w:p w14:paraId="3520FBE1" w14:textId="669A19D2" w:rsidR="00615EA2" w:rsidRPr="00615EA2" w:rsidRDefault="00615EA2" w:rsidP="003C5F4C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r w:rsidRPr="00615EA2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14:paraId="4D6BB75C" w14:textId="0F2D6DA6" w:rsidR="00615EA2" w:rsidRPr="002A56ED" w:rsidRDefault="00615EA2" w:rsidP="002B4310">
      <w:pPr>
        <w:spacing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编号：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202</w:t>
      </w:r>
      <w:r w:rsidR="00DE55BC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5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-00</w:t>
      </w:r>
      <w:r w:rsidR="000068BC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6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087"/>
      </w:tblGrid>
      <w:tr w:rsidR="00615EA2" w:rsidRPr="00615EA2" w14:paraId="341D585F" w14:textId="77777777" w:rsidTr="001A2C1F">
        <w:trPr>
          <w:trHeight w:val="25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487" w14:textId="16DA390D" w:rsidR="00615EA2" w:rsidRPr="00615EA2" w:rsidRDefault="00615EA2" w:rsidP="00C0021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58E" w14:textId="48BA3F1F" w:rsidR="00615EA2" w:rsidRPr="00DF6B32" w:rsidRDefault="00F55959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Pr="00DF6B32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615EA2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3D009924" w14:textId="25774BF2" w:rsidR="00615EA2" w:rsidRPr="00DF6B32" w:rsidRDefault="00615EA2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F55959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AFFC887" w14:textId="77777777" w:rsidR="00615EA2" w:rsidRPr="00DF6B32" w:rsidRDefault="00615EA2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21BCC3B4" w14:textId="0973542F" w:rsidR="00615EA2" w:rsidRPr="00DF6B32" w:rsidRDefault="00505B09" w:rsidP="00615EA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615EA2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61AC9001" w14:textId="7D83F678" w:rsidR="00615EA2" w:rsidRPr="00DF6B32" w:rsidRDefault="00145F92" w:rsidP="00615EA2">
            <w:pPr>
              <w:tabs>
                <w:tab w:val="center" w:pos="3199"/>
              </w:tabs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Pr="00DF6B32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  <w:r w:rsidR="00717671" w:rsidRPr="0071767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线上会议</w:t>
            </w:r>
            <w:r w:rsidR="00717671" w:rsidRPr="0071767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）</w:t>
            </w:r>
          </w:p>
        </w:tc>
      </w:tr>
      <w:tr w:rsidR="00615EA2" w:rsidRPr="00615EA2" w14:paraId="33C292B8" w14:textId="77777777" w:rsidTr="001A2C1F">
        <w:trPr>
          <w:trHeight w:val="58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FE77" w14:textId="77777777" w:rsidR="00615EA2" w:rsidRPr="00615EA2" w:rsidRDefault="00615EA2" w:rsidP="003D165D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FFC9" w14:textId="3E030635" w:rsidR="00D759F5" w:rsidRPr="001E22C9" w:rsidRDefault="0000162A" w:rsidP="00E64192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sz w:val="24"/>
                <w:szCs w:val="28"/>
              </w:rPr>
            </w:pPr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方正证券</w:t>
            </w:r>
            <w:r w:rsidR="007C0704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周超泽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、李霁阳；开源证券 刘艺；东吴证券</w:t>
            </w:r>
            <w:r w:rsidR="00B76AF3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冉胜男、李倩；银河证券</w:t>
            </w:r>
            <w:r w:rsidR="00B76AF3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闫晓松；中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邮证券</w:t>
            </w:r>
            <w:r w:rsidR="00B76AF3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B76AF3"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盛丽</w:t>
            </w:r>
            <w:proofErr w:type="gramEnd"/>
            <w:r w:rsidR="00B76AF3"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华</w:t>
            </w:r>
            <w:r w:rsidR="00B76AF3">
              <w:rPr>
                <w:rFonts w:asciiTheme="minorEastAsia" w:hAnsiTheme="minorEastAsia" w:cs="Times New Roman" w:hint="eastAsia"/>
                <w:sz w:val="24"/>
                <w:szCs w:val="28"/>
              </w:rPr>
              <w:t>、</w:t>
            </w:r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岑峻宇；</w:t>
            </w:r>
            <w:r w:rsidR="00B76AF3">
              <w:rPr>
                <w:rFonts w:asciiTheme="minorEastAsia" w:hAnsiTheme="minorEastAsia" w:cs="Times New Roman" w:hint="eastAsia"/>
                <w:sz w:val="24"/>
                <w:szCs w:val="28"/>
              </w:rPr>
              <w:t>招商</w:t>
            </w:r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证券 欧阳京</w:t>
            </w:r>
            <w:r w:rsidR="00B76AF3">
              <w:rPr>
                <w:rFonts w:asciiTheme="minorEastAsia" w:hAnsiTheme="minorEastAsia" w:cs="Times New Roman" w:hint="eastAsia"/>
                <w:sz w:val="24"/>
                <w:szCs w:val="28"/>
              </w:rPr>
              <w:t>、</w:t>
            </w:r>
            <w:r w:rsidR="00B76AF3"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何蔓</w:t>
            </w:r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；西南证券 伍云逍、刘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喆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；山西证券</w:t>
            </w:r>
            <w:r w:rsidR="00B76AF3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B76AF3"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魏赟</w:t>
            </w:r>
            <w:r w:rsidR="00B76AF3">
              <w:rPr>
                <w:rFonts w:asciiTheme="minorEastAsia" w:hAnsiTheme="minorEastAsia" w:cs="Times New Roman" w:hint="eastAsia"/>
                <w:sz w:val="24"/>
                <w:szCs w:val="28"/>
              </w:rPr>
              <w:t>、</w:t>
            </w:r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张智勇；中信证券 陈竹、王郑洋；平安证券 张梦鸽；国盛证券 胡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偌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碧、夏嘉梁；华鑫证券 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胡博新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；财通证券 华挺、宋田田；</w:t>
            </w:r>
            <w:r w:rsidR="007C0704">
              <w:rPr>
                <w:rFonts w:asciiTheme="minorEastAsia" w:hAnsiTheme="minorEastAsia" w:cs="Times New Roman" w:hint="eastAsia"/>
                <w:sz w:val="24"/>
                <w:szCs w:val="28"/>
              </w:rPr>
              <w:t>民生医药</w:t>
            </w:r>
            <w:r w:rsidR="007C0704"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王维肖</w:t>
            </w:r>
            <w:r w:rsidR="007C0704"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7C0704" w:rsidRPr="007C0704">
              <w:rPr>
                <w:rFonts w:asciiTheme="minorEastAsia" w:hAnsiTheme="minorEastAsia" w:cs="Times New Roman" w:hint="eastAsia"/>
                <w:sz w:val="24"/>
                <w:szCs w:val="28"/>
              </w:rPr>
              <w:t>光大证券 刘勇；</w:t>
            </w:r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华安证券 任婉莹；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益恒投资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钱坤；天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治基金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管理有限公司 </w:t>
            </w:r>
            <w:r w:rsidR="007C0704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王娟；中银理财有限责任公司 郭艳超；长盛基金管理有限公司 洪靖怡；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恒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生前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海基金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鲁娜；兴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银基金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管理有限责任公司 林德涵；深圳市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翼虎投资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管理有限公司 熊斌；北京明希资本管理有限公司 周彬；东方国际(集团)有限公司 章斌；正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圆投资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吴晓思；西安敦成投资管理有限公司 张晓艳；上海泾溪投资管理合伙企业（有限合伙） 方辉；富安达基金管理有限公司 李守峰；青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骊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投资管理(上海)有限公司 刘璇；中杰（厦门）投资有限公司 李文杰；上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银基金</w:t>
            </w:r>
            <w:proofErr w:type="gramEnd"/>
            <w:r w:rsidR="007C0704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 </w:t>
            </w:r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杨东朔；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创金合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信基金管理有限公司 张小郭；国富人寿保险股份有限公司 程勇；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循远资产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管理（上海）有限公司 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田超平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；上海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途灵资产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赵梓峰；金元顺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安基金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管理有限公司 陈铭杰；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深圳市尚诚资产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管理有限责任公司 黄向前；金信基金管理有限公司 黄飙；泾溪投资 方辉；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顾惠钟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；陈永辉；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百嘉基金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管理有限公司 黄艺明；上海盟洋投资管理有限公司 祝天骄；华</w:t>
            </w:r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lastRenderedPageBreak/>
              <w:t>泰证券（上海）资产管理有限公司 李勇剑；观合资产 张腾；荷荷(北京)私募基金管理有限公司 唐巍；上海呈瑞投资管理有限公司 刘青林；上海同犇投资管理中心 高振威；上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银基金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管理有限公司 杨建楠；财通证券资产管理有限公司 李真；深圳龙腾资产管理有限公司 于龙；朱仕平；中国人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保资产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管理股份有限公司 周亮、王忠波；北京成泉资本管理有限公司 王海斌；国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信资本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有限责任公司 袁翊翔；福建豪山资产管理有限公司 蔡再雄；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颐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和久富 米永峰；张伟；安信基金管理有限公司 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池陈森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；上海东方证券资产管理有限公司 江琦；郭彬；中国人民养老保险有限责任公司 毛雅婷；</w:t>
            </w:r>
            <w:proofErr w:type="gramStart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信达澳亚基</w:t>
            </w:r>
            <w:proofErr w:type="gramEnd"/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金管理有限公司 李东升；西安敦成投资管理有限公司 张晓艳；</w:t>
            </w:r>
            <w:r w:rsidR="007C0704" w:rsidRPr="007C0704">
              <w:rPr>
                <w:rFonts w:asciiTheme="minorEastAsia" w:hAnsiTheme="minorEastAsia" w:cs="Times New Roman" w:hint="eastAsia"/>
                <w:sz w:val="24"/>
                <w:szCs w:val="28"/>
              </w:rPr>
              <w:t>李明；</w:t>
            </w:r>
            <w:r w:rsidRPr="0000162A">
              <w:rPr>
                <w:rFonts w:asciiTheme="minorEastAsia" w:hAnsiTheme="minorEastAsia" w:cs="Times New Roman" w:hint="eastAsia"/>
                <w:sz w:val="24"/>
                <w:szCs w:val="28"/>
              </w:rPr>
              <w:t>孙朝阳（排名不分先后）</w:t>
            </w:r>
          </w:p>
        </w:tc>
      </w:tr>
      <w:tr w:rsidR="00615EA2" w:rsidRPr="00615EA2" w14:paraId="16B3EE2A" w14:textId="77777777" w:rsidTr="001A2C1F">
        <w:trPr>
          <w:trHeight w:val="7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685F" w14:textId="0EF84161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时</w:t>
            </w:r>
            <w:r w:rsidR="003D165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E1F3" w14:textId="6206DACD" w:rsidR="00092B98" w:rsidRPr="005730C5" w:rsidRDefault="006726BB" w:rsidP="00E03034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745F1E"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9170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145F9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0068BC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0068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:00-1</w:t>
            </w:r>
            <w:r w:rsidR="000068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 w:rsidR="00505B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  <w:tr w:rsidR="00615EA2" w:rsidRPr="00615EA2" w14:paraId="79DF6DE2" w14:textId="77777777" w:rsidTr="001A2C1F">
        <w:trPr>
          <w:trHeight w:val="6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6E4B" w14:textId="2DBEE231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</w:t>
            </w:r>
            <w:r w:rsidR="003D165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ED16" w14:textId="151925DE" w:rsidR="00615EA2" w:rsidRPr="005730C5" w:rsidRDefault="00145F92" w:rsidP="00DD05F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线上会议</w:t>
            </w:r>
          </w:p>
        </w:tc>
      </w:tr>
      <w:tr w:rsidR="00615EA2" w:rsidRPr="00615EA2" w14:paraId="6BACE6DB" w14:textId="77777777" w:rsidTr="001A2C1F">
        <w:trPr>
          <w:trHeight w:val="98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71EA" w14:textId="77777777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17E" w14:textId="69DB09BD" w:rsidR="00145F92" w:rsidRPr="005730C5" w:rsidRDefault="00145F92" w:rsidP="00145F92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董事会秘书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翟建中</w:t>
            </w:r>
          </w:p>
          <w:p w14:paraId="7A191010" w14:textId="77777777" w:rsidR="0026136F" w:rsidRDefault="00145F92" w:rsidP="00145F92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F9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核心技术人员、研究所副所长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李海岛</w:t>
            </w:r>
          </w:p>
          <w:p w14:paraId="7DF162B6" w14:textId="77777777" w:rsidR="000C2C89" w:rsidRDefault="00801D83" w:rsidP="000C2C8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01D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证券事务代表、证券投资</w:t>
            </w:r>
            <w:proofErr w:type="gramStart"/>
            <w:r w:rsidRPr="00801D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部</w:t>
            </w:r>
            <w:proofErr w:type="gramEnd"/>
            <w:r w:rsidRPr="00801D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部长</w:t>
            </w:r>
            <w:r w:rsidRPr="00801D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01D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成祥东</w:t>
            </w:r>
          </w:p>
          <w:p w14:paraId="6629C664" w14:textId="1AEDD4C9" w:rsidR="00B61D8A" w:rsidRPr="005730C5" w:rsidRDefault="00B61D8A" w:rsidP="000C2C8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特邀嘉宾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北京安定医院主任医师</w:t>
            </w:r>
            <w:r w:rsidR="001A2C1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李安宁</w:t>
            </w:r>
          </w:p>
        </w:tc>
      </w:tr>
      <w:tr w:rsidR="00615EA2" w:rsidRPr="00615EA2" w14:paraId="1959B08B" w14:textId="77777777" w:rsidTr="001A2C1F">
        <w:trPr>
          <w:trHeight w:val="75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D517" w14:textId="25FAB6DA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1DBF" w14:textId="4A4D61A3" w:rsidR="00F441E4" w:rsidRPr="006B428D" w:rsidRDefault="00F55959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一、</w:t>
            </w:r>
            <w:r w:rsidR="000068BC" w:rsidRPr="000068B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抗抑郁新药</w:t>
            </w:r>
            <w:r w:rsidR="000068BC" w:rsidRPr="000068B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JJH201501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基本情况介绍</w:t>
            </w:r>
          </w:p>
          <w:p w14:paraId="418DF33E" w14:textId="77777777" w:rsidR="00F55959" w:rsidRPr="006B428D" w:rsidRDefault="00F55959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二、交流互动环节</w:t>
            </w:r>
          </w:p>
          <w:p w14:paraId="2FC26C08" w14:textId="60B422FD" w:rsidR="000068BC" w:rsidRDefault="000068BC" w:rsidP="00CF151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068B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Pr="000068B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0068B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r w:rsidRPr="000068B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相比</w:t>
            </w:r>
            <w:r w:rsidR="0045188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对照</w:t>
            </w:r>
            <w:proofErr w:type="gramStart"/>
            <w:r w:rsidR="0045188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药</w:t>
            </w:r>
            <w:r w:rsidRPr="000068B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伏硫西汀</w:t>
            </w:r>
            <w:proofErr w:type="gramEnd"/>
            <w:r w:rsidRPr="000068B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的优势</w:t>
            </w:r>
            <w:r w:rsidR="009241B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有哪些？</w:t>
            </w:r>
          </w:p>
          <w:p w14:paraId="76F22066" w14:textId="361F369C" w:rsidR="000068BC" w:rsidRDefault="0045188A" w:rsidP="009241B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抗抑郁新药</w:t>
            </w:r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JJH201501</w:t>
            </w:r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是公司依托于</w:t>
            </w:r>
            <w:proofErr w:type="gramStart"/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氘代药物</w:t>
            </w:r>
            <w:proofErr w:type="gramEnd"/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研发技术平台正在研发的新型多受体作用机制的抗抑郁一类新药，</w:t>
            </w:r>
            <w:r w:rsid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通过</w:t>
            </w:r>
            <w:proofErr w:type="gramStart"/>
            <w:r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氘代</w:t>
            </w:r>
            <w:r w:rsid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药物</w:t>
            </w:r>
            <w:proofErr w:type="gramEnd"/>
            <w:r w:rsid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技术，使得</w:t>
            </w:r>
            <w:r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药物的代谢速率延缓，半衰期延长，使具有药理活性的</w:t>
            </w:r>
            <w:r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JJH201501</w:t>
            </w:r>
            <w:r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原药在体内具有更高的暴露量和更长的暴露时间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JJH201501</w:t>
            </w:r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较低剂量可以</w:t>
            </w:r>
            <w:proofErr w:type="gramStart"/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达到伏硫西汀更高</w:t>
            </w:r>
            <w:proofErr w:type="gramEnd"/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剂量的药效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临床研究结果提示，</w:t>
            </w:r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JJH201501</w:t>
            </w:r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10mg</w:t>
            </w:r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15mg</w:t>
            </w:r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两个剂量组，在连续治疗</w:t>
            </w:r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周后疗效均显著优于安慰剂组，并且与阳性对照</w:t>
            </w:r>
            <w:proofErr w:type="gramStart"/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药氢溴酸伏硫西汀</w:t>
            </w:r>
            <w:proofErr w:type="gramEnd"/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20mg</w:t>
            </w:r>
            <w:r w:rsidR="009241B1" w:rsidRPr="009241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组（该药物的最高批准剂量）的疗效相当。</w:t>
            </w:r>
          </w:p>
          <w:p w14:paraId="1F71E2E4" w14:textId="533DD3FC" w:rsidR="000068BC" w:rsidRPr="000068BC" w:rsidRDefault="0045188A" w:rsidP="000068B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</w:t>
            </w:r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JJH201501</w:t>
            </w:r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的两个剂量</w:t>
            </w:r>
            <w:proofErr w:type="gramStart"/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组导致</w:t>
            </w:r>
            <w:proofErr w:type="gramEnd"/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患者永久停药的不良反应发生率均与安慰剂组相当，并显著低于</w:t>
            </w:r>
            <w:proofErr w:type="gramStart"/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伏硫西汀</w:t>
            </w:r>
            <w:proofErr w:type="gramEnd"/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组，主要是导致永久停药的胃肠道不良事件（如恶心、呕吐等）发生率更低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在导致停药的不良反应方面比</w:t>
            </w:r>
            <w:proofErr w:type="gramStart"/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伏硫西汀</w:t>
            </w:r>
            <w:proofErr w:type="gramEnd"/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20mg</w:t>
            </w:r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更有优势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对于需要长期服药的抑郁症患者而言，更好的安全性意味着更高的用药依从性，能有效减少因不良反应导致的治疗中断。</w:t>
            </w:r>
          </w:p>
          <w:p w14:paraId="50B72A06" w14:textId="33D1B9B1" w:rsidR="000068BC" w:rsidRDefault="000068BC" w:rsidP="00CF151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068B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Pr="000068B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、目前抑郁症的</w:t>
            </w:r>
            <w:r w:rsidR="006F396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特点及用药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情况</w:t>
            </w:r>
            <w:r w:rsidR="0045188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是怎样的</w:t>
            </w:r>
            <w:r w:rsidRPr="000068B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预计</w:t>
            </w:r>
            <w:r w:rsidRPr="000068B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r w:rsidRPr="000068B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市场地位如何？</w:t>
            </w:r>
          </w:p>
          <w:p w14:paraId="67E1DE6D" w14:textId="6AF7A62D" w:rsidR="000068BC" w:rsidRDefault="0045188A" w:rsidP="0048153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抑郁障碍是一种常见的心境障碍，可由各种原因引起，以显著而持久的心境低落为主要临床特征，且心境低落与其处境不相称。</w:t>
            </w:r>
            <w:r w:rsidR="0048153C" w:rsidRPr="004815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据世界卫生组织（</w:t>
            </w:r>
            <w:r w:rsidR="0048153C" w:rsidRPr="004815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WHO</w:t>
            </w:r>
            <w:r w:rsidR="0048153C" w:rsidRPr="004815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）统计，抑郁症已成为全球常见疾病，全球有超过</w:t>
            </w:r>
            <w:r w:rsidR="0048153C" w:rsidRPr="004815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3.5</w:t>
            </w:r>
            <w:r w:rsidR="0048153C" w:rsidRPr="004815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亿人罹患抑郁症，近十年来患者增速约为</w:t>
            </w:r>
            <w:r w:rsidR="0048153C" w:rsidRPr="004815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18%</w:t>
            </w:r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48153C" w:rsidRPr="004815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中国精神卫生调查显示，目前我国患抑郁症人数</w:t>
            </w:r>
            <w:r w:rsidR="0048153C" w:rsidRPr="004815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1A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</w:t>
            </w:r>
            <w:r w:rsidR="0048153C" w:rsidRPr="004815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500</w:t>
            </w:r>
            <w:r w:rsidR="0048153C" w:rsidRPr="004815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</w:t>
            </w:r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抑郁症呈现</w:t>
            </w:r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发病率高、复发率高、致残率高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就诊率低、识别率低、治疗率低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的特点</w:t>
            </w:r>
            <w:r w:rsidRPr="004518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3470085" w14:textId="5E8BB67D" w:rsidR="00BA650C" w:rsidRDefault="00742A2B" w:rsidP="000068B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2A2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药物治疗是抑郁症首选治疗方法。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抗抑郁药物主要包括选择性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五羟色胺再摄取抑制剂（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SSRIs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）、三环类抗抑郁药（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TCA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）、单胺氧化酶抑制剂（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MAOI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）、五羟色胺和去甲肾上腺素再摄取双重抑制剂（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SNRIs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）、选择性去甲肾上腺素再摄取抑制剂（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NARIs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）、去甲肾上腺素能和特异性五羟色胺抗抑郁药（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NaSSA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）、去甲肾上腺素和多巴胺再摄取抑郁药（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NDRIs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等类别</w:t>
            </w:r>
            <w:r w:rsidR="00EE2599" w:rsidRPr="00EE25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288FE277" w14:textId="46F32103" w:rsidR="0045188A" w:rsidRPr="00742A2B" w:rsidRDefault="00742A2B" w:rsidP="000068B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2A2B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742A2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疗效确切、不良反应明确且程度较轻、药物相互作用少，</w:t>
            </w:r>
            <w:r w:rsidR="001A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成功上市后</w:t>
            </w:r>
            <w:r w:rsidRPr="00742A2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望</w:t>
            </w:r>
            <w:r w:rsidRPr="00742A2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抗抑郁</w:t>
            </w:r>
            <w:r w:rsidRPr="00742A2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一线用药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1DD40E16" w14:textId="2F633346" w:rsidR="000068BC" w:rsidRPr="00537E95" w:rsidRDefault="000068BC" w:rsidP="00CF151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37E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</w:t>
            </w:r>
            <w:r w:rsidRPr="00537E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CF151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抗抑郁药不良反应主要有哪些？</w:t>
            </w:r>
            <w:r w:rsidR="00716D22" w:rsidRPr="000068B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r w:rsidR="00B67B2A" w:rsidRPr="00B67B2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安全性</w:t>
            </w:r>
            <w:r w:rsidR="00B67B2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良好的</w:t>
            </w:r>
            <w:r w:rsidR="00146AE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主要体现在哪些方面</w:t>
            </w:r>
            <w:r w:rsidR="00B67B2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109A6364" w14:textId="3FF4C87C" w:rsidR="00716D22" w:rsidRDefault="00716D22" w:rsidP="00B67B2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16D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抗抑郁药的不良反应</w:t>
            </w:r>
            <w:r w:rsidR="00B76A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一般</w:t>
            </w:r>
            <w:r w:rsidRPr="00716D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涉及多个系统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，主要包括</w:t>
            </w:r>
            <w:r w:rsidRPr="00716D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消化系统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（如</w:t>
            </w:r>
            <w:r w:rsidRPr="00716D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恶心、呕吐、腹泻、便秘、口干、食欲下降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）、</w:t>
            </w:r>
            <w:r w:rsidRPr="00716D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中枢神经系统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（如</w:t>
            </w:r>
            <w:r w:rsidRPr="00716D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头晕、头痛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）、心血管系统（如</w:t>
            </w:r>
            <w:r w:rsidRPr="00716D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心悸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B76A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、皮肤及皮下组织类（如瘙痒）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等。</w:t>
            </w:r>
          </w:p>
          <w:p w14:paraId="6477CF3E" w14:textId="2CBC104B" w:rsidR="00146AEC" w:rsidRDefault="00B67B2A" w:rsidP="00B67B2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7B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临床试验</w:t>
            </w:r>
            <w:r w:rsidR="00B76AF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结果</w:t>
            </w:r>
            <w:r w:rsidRPr="00B67B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显示，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JJH201501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大部分常见不良反应发生率，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 mg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组低于氢溴酸</w:t>
            </w:r>
            <w:proofErr w:type="gramStart"/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伏硫西汀</w:t>
            </w:r>
            <w:proofErr w:type="gramEnd"/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20mg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组，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15mg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组低于或与氢溴酸</w:t>
            </w:r>
            <w:proofErr w:type="gramStart"/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伏硫西汀</w:t>
            </w:r>
            <w:proofErr w:type="gramEnd"/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 mg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组相当；导致受试者脱落和永久停药的不良反应发生率，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 mg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组和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 mg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组与安慰剂组相当，均低于氢溴酸</w:t>
            </w:r>
            <w:proofErr w:type="gramStart"/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伏硫西汀</w:t>
            </w:r>
            <w:proofErr w:type="gramEnd"/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 mg</w:t>
            </w:r>
            <w:r w:rsidR="00146AEC" w:rsidRPr="00146A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</w:t>
            </w:r>
            <w:r w:rsidR="00CF15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，表现出良好的</w:t>
            </w:r>
            <w:r w:rsidR="00CF151C" w:rsidRPr="00CF15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安全性和耐受性。</w:t>
            </w:r>
          </w:p>
          <w:p w14:paraId="306CABF8" w14:textId="79268A82" w:rsidR="00537E95" w:rsidRDefault="00537E95" w:rsidP="00CF151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37E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4</w:t>
            </w:r>
            <w:r w:rsidRPr="00537E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537E9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r w:rsidR="001233C9" w:rsidRPr="001233C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平均起效时间是多久？</w:t>
            </w:r>
            <w:r w:rsidR="000068BC" w:rsidRPr="00537E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临床</w:t>
            </w:r>
            <w:r w:rsidR="001233C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推广方面有哪些优势</w:t>
            </w:r>
            <w:r w:rsidR="000068BC" w:rsidRPr="00537E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3B95A127" w14:textId="68D158EA" w:rsidR="001233C9" w:rsidRDefault="001233C9" w:rsidP="000068B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33C9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的起效时间与</w:t>
            </w:r>
            <w:proofErr w:type="gramStart"/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伏硫西汀</w:t>
            </w:r>
            <w:proofErr w:type="gramEnd"/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基本一致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716D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一般</w:t>
            </w:r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两周开始出现疗效差异，四周差异明显，八周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左右</w:t>
            </w:r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达到</w:t>
            </w:r>
            <w:r w:rsidRPr="0045188A">
              <w:rPr>
                <w:rFonts w:ascii="Times New Roman" w:eastAsia="宋体" w:hAnsi="Times New Roman" w:cs="Times New Roman"/>
                <w:sz w:val="24"/>
                <w:szCs w:val="24"/>
              </w:rPr>
              <w:t>Ⅲ</w:t>
            </w:r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期临床数据水平。</w:t>
            </w:r>
          </w:p>
          <w:p w14:paraId="39F243F1" w14:textId="7F1AB0C5" w:rsidR="00537E95" w:rsidRDefault="001233C9" w:rsidP="000068B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33C9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属于机制明确的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一类</w:t>
            </w:r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创新药，疗效确切、不良反应明确且程度较轻、药物相互作用少，临床推广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具有</w:t>
            </w:r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优势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能够</w:t>
            </w:r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进入</w:t>
            </w:r>
            <w:proofErr w:type="gramStart"/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医</w:t>
            </w:r>
            <w:proofErr w:type="gramEnd"/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目录</w:t>
            </w:r>
            <w:r w:rsidR="001A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，通过</w:t>
            </w:r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学术推广，</w:t>
            </w:r>
            <w:r w:rsidR="001A2C1F" w:rsidRPr="001A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成功上市后</w:t>
            </w:r>
            <w:r w:rsidRPr="001233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有望成为抗抑郁一线用药。</w:t>
            </w:r>
          </w:p>
          <w:p w14:paraId="4CA6BF5E" w14:textId="35232905" w:rsidR="001233C9" w:rsidRPr="00CF151C" w:rsidRDefault="00CF151C" w:rsidP="004413D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F151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Pr="00CF151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proofErr w:type="gramStart"/>
            <w:r w:rsidRPr="00CF151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伏硫西汀</w:t>
            </w:r>
            <w:proofErr w:type="gramEnd"/>
            <w:r w:rsidRPr="00CF151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类药物的平均用药周期是多久？</w:t>
            </w:r>
            <w:r w:rsidR="00F72CD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抗抑郁药的主要</w:t>
            </w:r>
            <w:r w:rsidR="004413D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机理是什么</w:t>
            </w:r>
            <w:r w:rsidR="00F72CD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  <w:r w:rsidR="00F72CDE" w:rsidRPr="00CF151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FFA89A" w14:textId="658A2A0C" w:rsidR="00CF151C" w:rsidRDefault="00CF151C" w:rsidP="000068B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CF15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伏硫西汀</w:t>
            </w:r>
            <w:proofErr w:type="gramEnd"/>
            <w:r w:rsidRPr="00CF15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类药物的用药周期</w:t>
            </w:r>
            <w:r w:rsidR="002114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</w:t>
            </w:r>
            <w:proofErr w:type="gramStart"/>
            <w:r w:rsidRPr="00CF15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受患者</w:t>
            </w:r>
            <w:proofErr w:type="gramEnd"/>
            <w:r w:rsidRPr="00CF15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观念、习惯影响，半年以上维持用药的患者比例很高，只要患者依从性好，可长期用药。</w:t>
            </w:r>
            <w:r w:rsidR="004413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预计</w:t>
            </w:r>
            <w:r w:rsidR="004413D5" w:rsidRPr="001233C9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="004413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用药周期与</w:t>
            </w:r>
            <w:proofErr w:type="gramStart"/>
            <w:r w:rsidR="004413D5" w:rsidRPr="00CF15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伏硫西汀</w:t>
            </w:r>
            <w:proofErr w:type="gramEnd"/>
            <w:r w:rsidR="004413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类似。</w:t>
            </w:r>
          </w:p>
          <w:p w14:paraId="3D3B538B" w14:textId="7F5DEF82" w:rsidR="00CF151C" w:rsidRDefault="004413D5" w:rsidP="000068B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413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现有药物治疗的主要机理是通过影响神经递质的合成、释放、再摄取或降解过程，以此调节神经递质的水平，从而改善抑郁症的症状。目前一线抗抑郁药物主要作用于单胺神经递质，通过提高</w:t>
            </w:r>
            <w:r w:rsidRPr="004413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5-HT</w:t>
            </w:r>
            <w:r w:rsidRPr="004413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4413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DA</w:t>
            </w:r>
            <w:r w:rsidRPr="004413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Pr="004413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NE</w:t>
            </w:r>
            <w:r w:rsidRPr="004413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等神经递质在患者脑内的浓度，进而达到缓解抑郁症的效果。</w:t>
            </w:r>
          </w:p>
          <w:p w14:paraId="2B3709E3" w14:textId="53BEF26B" w:rsidR="00537E95" w:rsidRDefault="004413D5" w:rsidP="004413D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6</w:t>
            </w:r>
            <w:r w:rsidR="00537E95" w:rsidRPr="00537E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proofErr w:type="gramStart"/>
            <w:r w:rsidR="000068BC" w:rsidRPr="00537E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伏硫西汀</w:t>
            </w:r>
            <w:proofErr w:type="gramEnd"/>
            <w:r w:rsidR="00537E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目前的市场情况，</w:t>
            </w:r>
            <w:r w:rsidR="000068BC" w:rsidRPr="00537E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从目前的临床数据看如何看待</w:t>
            </w:r>
            <w:r w:rsidR="00537E95" w:rsidRPr="00537E9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r w:rsidR="000068BC" w:rsidRPr="00537E9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的定位和优势？</w:t>
            </w:r>
          </w:p>
          <w:p w14:paraId="530697DB" w14:textId="4E8706C6" w:rsidR="004413D5" w:rsidRPr="004413D5" w:rsidRDefault="0000162A" w:rsidP="0000162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根据有关报道，</w:t>
            </w:r>
            <w:r w:rsidRP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2023</w:t>
            </w:r>
            <w:r w:rsidRP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年氢溴酸</w:t>
            </w:r>
            <w:proofErr w:type="gramStart"/>
            <w:r w:rsidRP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伏硫西汀片全球</w:t>
            </w:r>
            <w:proofErr w:type="gramEnd"/>
            <w:r w:rsidRP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销售额为</w:t>
            </w:r>
            <w:r w:rsidRP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19.99</w:t>
            </w:r>
            <w:r w:rsidRP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亿美元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年国内医疗市场和零售市场氢溴酸</w:t>
            </w:r>
            <w:proofErr w:type="gramStart"/>
            <w:r w:rsidRP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伏硫西汀</w:t>
            </w:r>
            <w:proofErr w:type="gramEnd"/>
            <w:r w:rsidRP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片销售总额为</w:t>
            </w:r>
            <w:r w:rsidRP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2.14</w:t>
            </w:r>
            <w:r w:rsidRP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亿元人民币。氢溴酸</w:t>
            </w:r>
            <w:proofErr w:type="gramStart"/>
            <w:r w:rsidRP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伏硫西汀片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国内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市场销售规模较小的主要原因是药品价格较高且</w:t>
            </w:r>
            <w:r w:rsidR="001D26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进入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保目录，但近几年呈现较快的增速。</w:t>
            </w:r>
          </w:p>
          <w:p w14:paraId="14479632" w14:textId="2A224A17" w:rsidR="00537E95" w:rsidRPr="006B428D" w:rsidRDefault="001A2C1F" w:rsidP="0000162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JJH201501</w:t>
            </w:r>
            <w:r w:rsidRPr="001A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属于机制明确的一类创新药，疗效确切、不良反应明确且程度较轻、药物相互作用少，临床推广具有优势，若能够进入</w:t>
            </w:r>
            <w:proofErr w:type="gramStart"/>
            <w:r w:rsidRPr="001A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医</w:t>
            </w:r>
            <w:proofErr w:type="gramEnd"/>
            <w:r w:rsidRPr="001A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保目录，通过学术推广，成功上市后有望成为抗抑郁一线用药</w:t>
            </w:r>
            <w:r w:rsidR="0000162A" w:rsidRPr="000016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615EA2" w:rsidRPr="00615EA2" w14:paraId="01E58C3E" w14:textId="77777777" w:rsidTr="001A2C1F">
        <w:trPr>
          <w:trHeight w:val="6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76B3" w14:textId="77777777" w:rsidR="00615EA2" w:rsidRPr="00615EA2" w:rsidRDefault="00615EA2" w:rsidP="00615EA2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F53" w14:textId="59D01398" w:rsidR="00615EA2" w:rsidRPr="00615EA2" w:rsidRDefault="00BB5D0E" w:rsidP="00E03034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3F6C32" w:rsidRPr="00615EA2" w14:paraId="27232155" w14:textId="77777777" w:rsidTr="001A2C1F">
        <w:trPr>
          <w:trHeight w:val="6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F1DF" w14:textId="6E263DA7" w:rsidR="003F6C32" w:rsidRPr="00615EA2" w:rsidRDefault="003F6C32" w:rsidP="003F6C32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25C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6CC" w14:textId="066A93CF" w:rsidR="003F6C32" w:rsidRDefault="003F6C32" w:rsidP="003F6C32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223232">
              <w:rPr>
                <w:rFonts w:ascii="宋体" w:hAnsi="宋体" w:cs="Times New Roman" w:hint="eastAsia"/>
                <w:bCs/>
                <w:iCs/>
                <w:color w:val="000000"/>
                <w:sz w:val="24"/>
                <w:szCs w:val="24"/>
              </w:rPr>
              <w:t>本次活动不涉及应当披露重大信息。</w:t>
            </w:r>
          </w:p>
        </w:tc>
      </w:tr>
      <w:tr w:rsidR="003F6C32" w:rsidRPr="00615EA2" w14:paraId="3977881E" w14:textId="77777777" w:rsidTr="001A2C1F">
        <w:trPr>
          <w:trHeight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804" w14:textId="371AAA25" w:rsidR="003F6C32" w:rsidRPr="00615EA2" w:rsidRDefault="003F6C32" w:rsidP="003F6C3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22B7" w14:textId="5CD9BAFA" w:rsidR="003F6C32" w:rsidRPr="005B10AE" w:rsidRDefault="003F6C32" w:rsidP="003F6C32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1735C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D1380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946997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9241B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2336EBA9" w14:textId="1EE16D93" w:rsidR="00EA6D08" w:rsidRPr="00615EA2" w:rsidRDefault="00EA6D08" w:rsidP="00946997">
      <w:pPr>
        <w:rPr>
          <w:rFonts w:ascii="Times New Roman" w:eastAsia="宋体" w:hAnsi="Times New Roman" w:cs="Times New Roman"/>
          <w:szCs w:val="24"/>
        </w:rPr>
      </w:pPr>
    </w:p>
    <w:sectPr w:rsidR="00EA6D08" w:rsidRPr="00615EA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2FA7" w14:textId="77777777" w:rsidR="00794DEB" w:rsidRDefault="00794DEB" w:rsidP="000B0145">
      <w:r>
        <w:separator/>
      </w:r>
    </w:p>
  </w:endnote>
  <w:endnote w:type="continuationSeparator" w:id="0">
    <w:p w14:paraId="0CFB9819" w14:textId="77777777" w:rsidR="00794DEB" w:rsidRDefault="00794DEB" w:rsidP="000B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7730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970C2A" w14:textId="08F431F5" w:rsidR="001E303E" w:rsidRPr="001E303E" w:rsidRDefault="001E303E" w:rsidP="001E303E">
        <w:pPr>
          <w:pStyle w:val="a5"/>
          <w:jc w:val="center"/>
          <w:rPr>
            <w:rFonts w:ascii="Times New Roman" w:hAnsi="Times New Roman" w:cs="Times New Roman"/>
          </w:rPr>
        </w:pPr>
        <w:r w:rsidRPr="001E303E">
          <w:rPr>
            <w:rFonts w:ascii="Times New Roman" w:hAnsi="Times New Roman" w:cs="Times New Roman"/>
          </w:rPr>
          <w:fldChar w:fldCharType="begin"/>
        </w:r>
        <w:r w:rsidRPr="001E303E">
          <w:rPr>
            <w:rFonts w:ascii="Times New Roman" w:hAnsi="Times New Roman" w:cs="Times New Roman"/>
          </w:rPr>
          <w:instrText>PAGE   \* MERGEFORMAT</w:instrText>
        </w:r>
        <w:r w:rsidRPr="001E303E">
          <w:rPr>
            <w:rFonts w:ascii="Times New Roman" w:hAnsi="Times New Roman" w:cs="Times New Roman"/>
          </w:rPr>
          <w:fldChar w:fldCharType="separate"/>
        </w:r>
        <w:r w:rsidRPr="001E303E">
          <w:rPr>
            <w:rFonts w:ascii="Times New Roman" w:hAnsi="Times New Roman" w:cs="Times New Roman"/>
            <w:lang w:val="zh-CN"/>
          </w:rPr>
          <w:t>2</w:t>
        </w:r>
        <w:r w:rsidRPr="001E30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E932" w14:textId="77777777" w:rsidR="00794DEB" w:rsidRDefault="00794DEB" w:rsidP="000B0145">
      <w:r>
        <w:separator/>
      </w:r>
    </w:p>
  </w:footnote>
  <w:footnote w:type="continuationSeparator" w:id="0">
    <w:p w14:paraId="14AED8F3" w14:textId="77777777" w:rsidR="00794DEB" w:rsidRDefault="00794DEB" w:rsidP="000B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1548" w14:textId="6834042C" w:rsidR="000546D4" w:rsidRPr="000546D4" w:rsidRDefault="000546D4" w:rsidP="00E25D5E">
    <w:pPr>
      <w:pStyle w:val="a3"/>
      <w:pBdr>
        <w:bottom w:val="none" w:sz="0" w:space="0" w:color="auto"/>
      </w:pBdr>
      <w:ind w:righ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79C"/>
    <w:multiLevelType w:val="hybridMultilevel"/>
    <w:tmpl w:val="0570DCD4"/>
    <w:lvl w:ilvl="0" w:tplc="35A449C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C2E344E"/>
    <w:multiLevelType w:val="hybridMultilevel"/>
    <w:tmpl w:val="06EC06A0"/>
    <w:lvl w:ilvl="0" w:tplc="2B5A7EDA">
      <w:start w:val="1"/>
      <w:numFmt w:val="japaneseCounting"/>
      <w:lvlText w:val="%1、"/>
      <w:lvlJc w:val="left"/>
      <w:pPr>
        <w:ind w:left="977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290B4934"/>
    <w:multiLevelType w:val="hybridMultilevel"/>
    <w:tmpl w:val="159C7C60"/>
    <w:lvl w:ilvl="0" w:tplc="2F0422BE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2A4B41F5"/>
    <w:multiLevelType w:val="hybridMultilevel"/>
    <w:tmpl w:val="0C72AC82"/>
    <w:lvl w:ilvl="0" w:tplc="AD88EF62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4" w15:restartNumberingAfterBreak="0">
    <w:nsid w:val="53966B2E"/>
    <w:multiLevelType w:val="hybridMultilevel"/>
    <w:tmpl w:val="8AE293C6"/>
    <w:lvl w:ilvl="0" w:tplc="E8AEE89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992828882">
    <w:abstractNumId w:val="4"/>
  </w:num>
  <w:num w:numId="2" w16cid:durableId="1385520923">
    <w:abstractNumId w:val="3"/>
  </w:num>
  <w:num w:numId="3" w16cid:durableId="822936289">
    <w:abstractNumId w:val="2"/>
  </w:num>
  <w:num w:numId="4" w16cid:durableId="1274483336">
    <w:abstractNumId w:val="1"/>
  </w:num>
  <w:num w:numId="5" w16cid:durableId="10488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AF"/>
    <w:rsid w:val="0000162A"/>
    <w:rsid w:val="000026D1"/>
    <w:rsid w:val="000068BC"/>
    <w:rsid w:val="000546D4"/>
    <w:rsid w:val="000565A9"/>
    <w:rsid w:val="00084CD8"/>
    <w:rsid w:val="00085015"/>
    <w:rsid w:val="0008554E"/>
    <w:rsid w:val="00092B98"/>
    <w:rsid w:val="000A267F"/>
    <w:rsid w:val="000B0145"/>
    <w:rsid w:val="000C22D1"/>
    <w:rsid w:val="000C2C89"/>
    <w:rsid w:val="000C34B3"/>
    <w:rsid w:val="000C65F5"/>
    <w:rsid w:val="000E35E1"/>
    <w:rsid w:val="000E51C6"/>
    <w:rsid w:val="00106F7C"/>
    <w:rsid w:val="001114F6"/>
    <w:rsid w:val="00117EA7"/>
    <w:rsid w:val="001233C9"/>
    <w:rsid w:val="001245B5"/>
    <w:rsid w:val="00132C40"/>
    <w:rsid w:val="00144424"/>
    <w:rsid w:val="00145F92"/>
    <w:rsid w:val="00146AEC"/>
    <w:rsid w:val="0015778C"/>
    <w:rsid w:val="001735C9"/>
    <w:rsid w:val="001856AC"/>
    <w:rsid w:val="001870EE"/>
    <w:rsid w:val="00191A6F"/>
    <w:rsid w:val="001A260A"/>
    <w:rsid w:val="001A2C1F"/>
    <w:rsid w:val="001B271F"/>
    <w:rsid w:val="001B5524"/>
    <w:rsid w:val="001D266B"/>
    <w:rsid w:val="001E22C9"/>
    <w:rsid w:val="001E303E"/>
    <w:rsid w:val="001F1095"/>
    <w:rsid w:val="001F78F0"/>
    <w:rsid w:val="001F7B9B"/>
    <w:rsid w:val="00201FA4"/>
    <w:rsid w:val="002078AB"/>
    <w:rsid w:val="0021144E"/>
    <w:rsid w:val="00212AFB"/>
    <w:rsid w:val="00212F3D"/>
    <w:rsid w:val="0021415D"/>
    <w:rsid w:val="00227531"/>
    <w:rsid w:val="0022781E"/>
    <w:rsid w:val="002426F9"/>
    <w:rsid w:val="00245C21"/>
    <w:rsid w:val="00255E0D"/>
    <w:rsid w:val="0026136F"/>
    <w:rsid w:val="002646EB"/>
    <w:rsid w:val="0027758C"/>
    <w:rsid w:val="00282255"/>
    <w:rsid w:val="00290A0A"/>
    <w:rsid w:val="0029442C"/>
    <w:rsid w:val="00295DBA"/>
    <w:rsid w:val="002A56ED"/>
    <w:rsid w:val="002B1CAD"/>
    <w:rsid w:val="002B4310"/>
    <w:rsid w:val="002B75BA"/>
    <w:rsid w:val="002C056B"/>
    <w:rsid w:val="002D082B"/>
    <w:rsid w:val="002D4AE8"/>
    <w:rsid w:val="002D724C"/>
    <w:rsid w:val="002E4151"/>
    <w:rsid w:val="002F09FD"/>
    <w:rsid w:val="00307435"/>
    <w:rsid w:val="003116CA"/>
    <w:rsid w:val="00313BDA"/>
    <w:rsid w:val="003155FC"/>
    <w:rsid w:val="00316D1E"/>
    <w:rsid w:val="0034080D"/>
    <w:rsid w:val="00345AD5"/>
    <w:rsid w:val="00352682"/>
    <w:rsid w:val="003564BC"/>
    <w:rsid w:val="003624A6"/>
    <w:rsid w:val="0037409B"/>
    <w:rsid w:val="00386162"/>
    <w:rsid w:val="00395A5D"/>
    <w:rsid w:val="003A46C0"/>
    <w:rsid w:val="003A5307"/>
    <w:rsid w:val="003B173D"/>
    <w:rsid w:val="003B4824"/>
    <w:rsid w:val="003C53C3"/>
    <w:rsid w:val="003C5F4C"/>
    <w:rsid w:val="003D12D1"/>
    <w:rsid w:val="003D165D"/>
    <w:rsid w:val="003E7E55"/>
    <w:rsid w:val="003F0870"/>
    <w:rsid w:val="003F599E"/>
    <w:rsid w:val="003F6C32"/>
    <w:rsid w:val="00403019"/>
    <w:rsid w:val="004413D5"/>
    <w:rsid w:val="004447AA"/>
    <w:rsid w:val="0045188A"/>
    <w:rsid w:val="004530FC"/>
    <w:rsid w:val="00464A27"/>
    <w:rsid w:val="00474AB7"/>
    <w:rsid w:val="00475F34"/>
    <w:rsid w:val="00481045"/>
    <w:rsid w:val="0048153C"/>
    <w:rsid w:val="004910C6"/>
    <w:rsid w:val="004912C1"/>
    <w:rsid w:val="004B0C0B"/>
    <w:rsid w:val="004C49B3"/>
    <w:rsid w:val="005025EA"/>
    <w:rsid w:val="00505B09"/>
    <w:rsid w:val="00510EEC"/>
    <w:rsid w:val="00533828"/>
    <w:rsid w:val="00536E38"/>
    <w:rsid w:val="00537E95"/>
    <w:rsid w:val="0054052E"/>
    <w:rsid w:val="00542941"/>
    <w:rsid w:val="00562F83"/>
    <w:rsid w:val="005730C5"/>
    <w:rsid w:val="005818DE"/>
    <w:rsid w:val="00585FA4"/>
    <w:rsid w:val="005875A4"/>
    <w:rsid w:val="00593E92"/>
    <w:rsid w:val="005A1D59"/>
    <w:rsid w:val="005B10AE"/>
    <w:rsid w:val="005C66E8"/>
    <w:rsid w:val="005D11DA"/>
    <w:rsid w:val="005D3E1E"/>
    <w:rsid w:val="005E22EA"/>
    <w:rsid w:val="005F5834"/>
    <w:rsid w:val="0060709F"/>
    <w:rsid w:val="00615EA2"/>
    <w:rsid w:val="00620298"/>
    <w:rsid w:val="00636B75"/>
    <w:rsid w:val="00653B05"/>
    <w:rsid w:val="006726BB"/>
    <w:rsid w:val="00672BAE"/>
    <w:rsid w:val="006854B6"/>
    <w:rsid w:val="006B2C78"/>
    <w:rsid w:val="006B428D"/>
    <w:rsid w:val="006B7D59"/>
    <w:rsid w:val="006E3AD9"/>
    <w:rsid w:val="006F0F91"/>
    <w:rsid w:val="006F3963"/>
    <w:rsid w:val="006F4286"/>
    <w:rsid w:val="007128F8"/>
    <w:rsid w:val="00716D22"/>
    <w:rsid w:val="00717671"/>
    <w:rsid w:val="00721943"/>
    <w:rsid w:val="00732886"/>
    <w:rsid w:val="007372CF"/>
    <w:rsid w:val="0074060A"/>
    <w:rsid w:val="00742A2B"/>
    <w:rsid w:val="00745F1E"/>
    <w:rsid w:val="00746623"/>
    <w:rsid w:val="00746EEC"/>
    <w:rsid w:val="007711DF"/>
    <w:rsid w:val="00773D3A"/>
    <w:rsid w:val="007750F7"/>
    <w:rsid w:val="007806B7"/>
    <w:rsid w:val="00791BC9"/>
    <w:rsid w:val="00794C05"/>
    <w:rsid w:val="00794C8B"/>
    <w:rsid w:val="00794DEB"/>
    <w:rsid w:val="007B6860"/>
    <w:rsid w:val="007B6AB8"/>
    <w:rsid w:val="007C0704"/>
    <w:rsid w:val="007C21F9"/>
    <w:rsid w:val="007D513E"/>
    <w:rsid w:val="007E707F"/>
    <w:rsid w:val="00800532"/>
    <w:rsid w:val="00801D83"/>
    <w:rsid w:val="00807414"/>
    <w:rsid w:val="00817FB5"/>
    <w:rsid w:val="008221C8"/>
    <w:rsid w:val="008346E3"/>
    <w:rsid w:val="00842E7F"/>
    <w:rsid w:val="00843637"/>
    <w:rsid w:val="00844377"/>
    <w:rsid w:val="00844D8F"/>
    <w:rsid w:val="00851B5B"/>
    <w:rsid w:val="0085571F"/>
    <w:rsid w:val="00867876"/>
    <w:rsid w:val="00872F17"/>
    <w:rsid w:val="0087539C"/>
    <w:rsid w:val="00876A4C"/>
    <w:rsid w:val="00877547"/>
    <w:rsid w:val="00884BAE"/>
    <w:rsid w:val="00891DD7"/>
    <w:rsid w:val="00892D71"/>
    <w:rsid w:val="0089629C"/>
    <w:rsid w:val="00896E17"/>
    <w:rsid w:val="008A1F25"/>
    <w:rsid w:val="008A2F44"/>
    <w:rsid w:val="008B3635"/>
    <w:rsid w:val="008B482A"/>
    <w:rsid w:val="008B5048"/>
    <w:rsid w:val="008D06E8"/>
    <w:rsid w:val="008D582C"/>
    <w:rsid w:val="008F40EE"/>
    <w:rsid w:val="00914692"/>
    <w:rsid w:val="00917026"/>
    <w:rsid w:val="0092158C"/>
    <w:rsid w:val="009241B1"/>
    <w:rsid w:val="00924B1E"/>
    <w:rsid w:val="00946997"/>
    <w:rsid w:val="0095342E"/>
    <w:rsid w:val="0096240E"/>
    <w:rsid w:val="009650C6"/>
    <w:rsid w:val="00980C55"/>
    <w:rsid w:val="009863E7"/>
    <w:rsid w:val="009B0EC4"/>
    <w:rsid w:val="009B7D1A"/>
    <w:rsid w:val="009E273D"/>
    <w:rsid w:val="009E76CC"/>
    <w:rsid w:val="009E7EB2"/>
    <w:rsid w:val="009F7E3D"/>
    <w:rsid w:val="00A00A9D"/>
    <w:rsid w:val="00A07FC3"/>
    <w:rsid w:val="00A12E33"/>
    <w:rsid w:val="00A13A36"/>
    <w:rsid w:val="00A216EC"/>
    <w:rsid w:val="00A25B97"/>
    <w:rsid w:val="00A271C0"/>
    <w:rsid w:val="00A5326B"/>
    <w:rsid w:val="00A55706"/>
    <w:rsid w:val="00A65BE5"/>
    <w:rsid w:val="00A81C88"/>
    <w:rsid w:val="00A84C20"/>
    <w:rsid w:val="00AB34B5"/>
    <w:rsid w:val="00AC6454"/>
    <w:rsid w:val="00AC7F61"/>
    <w:rsid w:val="00AD4D7B"/>
    <w:rsid w:val="00AF04AD"/>
    <w:rsid w:val="00B115E0"/>
    <w:rsid w:val="00B41B89"/>
    <w:rsid w:val="00B43302"/>
    <w:rsid w:val="00B55948"/>
    <w:rsid w:val="00B61D8A"/>
    <w:rsid w:val="00B64DCA"/>
    <w:rsid w:val="00B67B2A"/>
    <w:rsid w:val="00B76AF3"/>
    <w:rsid w:val="00BA650C"/>
    <w:rsid w:val="00BB0582"/>
    <w:rsid w:val="00BB5D0E"/>
    <w:rsid w:val="00BC292B"/>
    <w:rsid w:val="00BC62BF"/>
    <w:rsid w:val="00BE7A09"/>
    <w:rsid w:val="00BF700A"/>
    <w:rsid w:val="00C0021E"/>
    <w:rsid w:val="00C00C77"/>
    <w:rsid w:val="00C03550"/>
    <w:rsid w:val="00C077D8"/>
    <w:rsid w:val="00C113C7"/>
    <w:rsid w:val="00C231B2"/>
    <w:rsid w:val="00C30377"/>
    <w:rsid w:val="00C362C7"/>
    <w:rsid w:val="00C40EB3"/>
    <w:rsid w:val="00C566CC"/>
    <w:rsid w:val="00C56742"/>
    <w:rsid w:val="00C8046B"/>
    <w:rsid w:val="00C844E9"/>
    <w:rsid w:val="00C968F9"/>
    <w:rsid w:val="00CB5D96"/>
    <w:rsid w:val="00CC6309"/>
    <w:rsid w:val="00CD754C"/>
    <w:rsid w:val="00CE016B"/>
    <w:rsid w:val="00CF151C"/>
    <w:rsid w:val="00CF2040"/>
    <w:rsid w:val="00D05D44"/>
    <w:rsid w:val="00D10B61"/>
    <w:rsid w:val="00D13806"/>
    <w:rsid w:val="00D34C2D"/>
    <w:rsid w:val="00D43AED"/>
    <w:rsid w:val="00D551D7"/>
    <w:rsid w:val="00D629BB"/>
    <w:rsid w:val="00D667F6"/>
    <w:rsid w:val="00D755DD"/>
    <w:rsid w:val="00D759F5"/>
    <w:rsid w:val="00D93247"/>
    <w:rsid w:val="00D95833"/>
    <w:rsid w:val="00DB4472"/>
    <w:rsid w:val="00DC5F51"/>
    <w:rsid w:val="00DC70B5"/>
    <w:rsid w:val="00DD05F1"/>
    <w:rsid w:val="00DD3DB0"/>
    <w:rsid w:val="00DE0C3D"/>
    <w:rsid w:val="00DE55BC"/>
    <w:rsid w:val="00DF37DC"/>
    <w:rsid w:val="00DF6B32"/>
    <w:rsid w:val="00DF6EF0"/>
    <w:rsid w:val="00E03034"/>
    <w:rsid w:val="00E179ED"/>
    <w:rsid w:val="00E25D5E"/>
    <w:rsid w:val="00E3501C"/>
    <w:rsid w:val="00E35565"/>
    <w:rsid w:val="00E4550D"/>
    <w:rsid w:val="00E612B4"/>
    <w:rsid w:val="00E64192"/>
    <w:rsid w:val="00E6711E"/>
    <w:rsid w:val="00E7037D"/>
    <w:rsid w:val="00E71763"/>
    <w:rsid w:val="00E809EC"/>
    <w:rsid w:val="00E83082"/>
    <w:rsid w:val="00E8552A"/>
    <w:rsid w:val="00E969EF"/>
    <w:rsid w:val="00EA1B37"/>
    <w:rsid w:val="00EA6D08"/>
    <w:rsid w:val="00EC1486"/>
    <w:rsid w:val="00EC3D22"/>
    <w:rsid w:val="00EC7DEA"/>
    <w:rsid w:val="00ED5A30"/>
    <w:rsid w:val="00ED5ED1"/>
    <w:rsid w:val="00EE0BF5"/>
    <w:rsid w:val="00EE2599"/>
    <w:rsid w:val="00EE4064"/>
    <w:rsid w:val="00F026DB"/>
    <w:rsid w:val="00F12BD8"/>
    <w:rsid w:val="00F141A7"/>
    <w:rsid w:val="00F15AAF"/>
    <w:rsid w:val="00F441E4"/>
    <w:rsid w:val="00F46550"/>
    <w:rsid w:val="00F52AF6"/>
    <w:rsid w:val="00F55959"/>
    <w:rsid w:val="00F72CDE"/>
    <w:rsid w:val="00F77D6A"/>
    <w:rsid w:val="00F92760"/>
    <w:rsid w:val="00F9402D"/>
    <w:rsid w:val="00FB43F9"/>
    <w:rsid w:val="00FB44E1"/>
    <w:rsid w:val="00FC48C2"/>
    <w:rsid w:val="00FC498C"/>
    <w:rsid w:val="00FE6A47"/>
    <w:rsid w:val="00FF110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EAD03"/>
  <w15:chartTrackingRefBased/>
  <w15:docId w15:val="{4234AED2-3C17-455F-A84F-661D0BA4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1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145"/>
    <w:rPr>
      <w:sz w:val="18"/>
      <w:szCs w:val="18"/>
    </w:rPr>
  </w:style>
  <w:style w:type="paragraph" w:styleId="a7">
    <w:name w:val="List Paragraph"/>
    <w:basedOn w:val="a"/>
    <w:uiPriority w:val="34"/>
    <w:qFormat/>
    <w:rsid w:val="00B43302"/>
    <w:pPr>
      <w:ind w:firstLineChars="200" w:firstLine="420"/>
    </w:pPr>
  </w:style>
  <w:style w:type="table" w:styleId="a8">
    <w:name w:val="Table Grid"/>
    <w:basedOn w:val="a1"/>
    <w:uiPriority w:val="59"/>
    <w:rsid w:val="00E0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612B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612B4"/>
    <w:rPr>
      <w:sz w:val="18"/>
      <w:szCs w:val="18"/>
    </w:rPr>
  </w:style>
  <w:style w:type="character" w:customStyle="1" w:styleId="fontstyle01">
    <w:name w:val="fontstyle01"/>
    <w:basedOn w:val="a0"/>
    <w:rsid w:val="006726B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8308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E83082"/>
    <w:rPr>
      <w:rFonts w:ascii="Courier New" w:hAnsi="Courier New" w:cs="Courier New"/>
      <w:sz w:val="20"/>
      <w:szCs w:val="20"/>
    </w:rPr>
  </w:style>
  <w:style w:type="paragraph" w:styleId="ab">
    <w:name w:val="Revision"/>
    <w:hidden/>
    <w:uiPriority w:val="99"/>
    <w:semiHidden/>
    <w:rsid w:val="00A84C20"/>
  </w:style>
  <w:style w:type="paragraph" w:styleId="ac">
    <w:name w:val="Normal (Web)"/>
    <w:basedOn w:val="a"/>
    <w:uiPriority w:val="99"/>
    <w:semiHidden/>
    <w:unhideWhenUsed/>
    <w:rsid w:val="00716D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42C1-9B3E-41BA-9539-6701C837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1545</Words>
  <Characters>1686</Characters>
  <Application>Microsoft Office Word</Application>
  <DocSecurity>0</DocSecurity>
  <Lines>84</Lines>
  <Paragraphs>52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 祥东</dc:creator>
  <cp:keywords/>
  <dc:description/>
  <cp:lastModifiedBy>祥东 成</cp:lastModifiedBy>
  <cp:revision>78</cp:revision>
  <cp:lastPrinted>2025-07-23T01:03:00Z</cp:lastPrinted>
  <dcterms:created xsi:type="dcterms:W3CDTF">2025-07-22T08:57:00Z</dcterms:created>
  <dcterms:modified xsi:type="dcterms:W3CDTF">2025-11-07T08:27:00Z</dcterms:modified>
</cp:coreProperties>
</file>