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81F9" w14:textId="77777777" w:rsidR="006E2548" w:rsidRDefault="00EB4EAC">
      <w:pPr>
        <w:keepNext/>
        <w:keepLines/>
        <w:spacing w:before="260" w:after="260" w:line="36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ascii="Times New Roman" w:eastAsia="宋体" w:hAnsi="Times New Roman" w:cs="Times New Roman" w:hint="eastAsia"/>
          <w:b/>
          <w:bCs/>
          <w:iCs/>
          <w:sz w:val="24"/>
          <w:lang w:bidi="ar"/>
        </w:rPr>
        <w:t>证券简称：莱特光电</w:t>
      </w:r>
      <w:r>
        <w:rPr>
          <w:rFonts w:ascii="Times New Roman" w:eastAsia="宋体" w:hAnsi="Times New Roman" w:cs="Times New Roman"/>
          <w:b/>
          <w:bCs/>
          <w:iCs/>
          <w:sz w:val="24"/>
          <w:lang w:bidi="ar"/>
        </w:rPr>
        <w:t xml:space="preserve">                                      </w:t>
      </w:r>
      <w:r>
        <w:rPr>
          <w:rFonts w:ascii="Times New Roman" w:eastAsia="宋体" w:hAnsi="Times New Roman" w:cs="Times New Roman" w:hint="eastAsia"/>
          <w:b/>
          <w:bCs/>
          <w:iCs/>
          <w:sz w:val="24"/>
          <w:lang w:bidi="ar"/>
        </w:rPr>
        <w:t>证券代码：</w:t>
      </w:r>
      <w:r>
        <w:rPr>
          <w:rFonts w:ascii="Times New Roman" w:eastAsia="宋体" w:hAnsi="Times New Roman" w:cs="Times New Roman"/>
          <w:b/>
          <w:bCs/>
          <w:iCs/>
          <w:sz w:val="24"/>
          <w:lang w:bidi="ar"/>
        </w:rPr>
        <w:t>688150</w:t>
      </w:r>
    </w:p>
    <w:p w14:paraId="225F05D8" w14:textId="77777777" w:rsidR="006E2548" w:rsidRDefault="00EB4EAC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bidi="ar"/>
        </w:rPr>
        <w:t>陕西莱特光电材料股份有限公司</w:t>
      </w:r>
    </w:p>
    <w:p w14:paraId="6B73120E" w14:textId="77777777" w:rsidR="006E2548" w:rsidRDefault="00EB4EAC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bidi="ar"/>
        </w:rPr>
        <w:t>投资者关系活动记录表</w:t>
      </w:r>
    </w:p>
    <w:p w14:paraId="27843DEF" w14:textId="77777777" w:rsidR="006E2548" w:rsidRDefault="00EB4EAC">
      <w:pPr>
        <w:keepNext/>
        <w:keepLines/>
        <w:spacing w:before="260" w:after="260" w:line="360" w:lineRule="auto"/>
        <w:jc w:val="right"/>
        <w:outlineLvl w:val="1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lang w:bidi="ar"/>
        </w:rPr>
        <w:t>编号：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202</w:t>
      </w:r>
      <w:r>
        <w:rPr>
          <w:rFonts w:ascii="Times New Roman" w:eastAsia="宋体" w:hAnsi="Times New Roman" w:cs="Times New Roman" w:hint="eastAsia"/>
          <w:b/>
          <w:bCs/>
          <w:sz w:val="24"/>
          <w:lang w:bidi="ar"/>
        </w:rPr>
        <w:t>5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-</w:t>
      </w:r>
      <w:r>
        <w:rPr>
          <w:rFonts w:ascii="Times New Roman" w:eastAsia="宋体" w:hAnsi="Times New Roman" w:cs="Times New Roman" w:hint="eastAsia"/>
          <w:b/>
          <w:bCs/>
          <w:sz w:val="24"/>
          <w:lang w:bidi="ar"/>
        </w:rPr>
        <w:t>011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8160"/>
      </w:tblGrid>
      <w:tr w:rsidR="006E2548" w14:paraId="3FFC2417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D821" w14:textId="77777777" w:rsidR="006E2548" w:rsidRDefault="00EB4EA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lang w:bidi="ar"/>
              </w:rPr>
              <w:t>投资者关系活动类别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D6E" w14:textId="43F2D18E" w:rsidR="006E2548" w:rsidRDefault="00EB4EAC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分析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师会议</w:t>
            </w:r>
            <w:proofErr w:type="gramEnd"/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业绩说明会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路演活动</w:t>
            </w:r>
          </w:p>
          <w:p w14:paraId="269AB30F" w14:textId="1322EB5E" w:rsidR="006E2548" w:rsidRDefault="00EB4EAC">
            <w:pPr>
              <w:tabs>
                <w:tab w:val="left" w:pos="2690"/>
                <w:tab w:val="center" w:pos="3199"/>
              </w:tabs>
              <w:spacing w:line="360" w:lineRule="auto"/>
              <w:jc w:val="left"/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现场参观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            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电话会议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ar"/>
              </w:rPr>
              <w:t>其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ar"/>
              </w:rPr>
              <w:t>他</w:t>
            </w:r>
          </w:p>
        </w:tc>
      </w:tr>
      <w:tr w:rsidR="006E2548" w14:paraId="70763E1C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DD69" w14:textId="77777777" w:rsidR="006E2548" w:rsidRDefault="00EB4EAC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lang w:bidi="ar"/>
              </w:rPr>
              <w:t>参与单位名称及人员姓名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5BA7" w14:textId="77777777" w:rsidR="006E2548" w:rsidRDefault="00EB4EAC">
            <w:pPr>
              <w:tabs>
                <w:tab w:val="left" w:pos="1628"/>
              </w:tabs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华夏基金：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韩霄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 xml:space="preserve">                   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信达澳亚基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金：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陆毅楷</w:t>
            </w:r>
            <w:proofErr w:type="gramEnd"/>
          </w:p>
          <w:p w14:paraId="0835C0B9" w14:textId="77777777" w:rsidR="006E2548" w:rsidRDefault="00EB4EAC">
            <w:pPr>
              <w:tabs>
                <w:tab w:val="left" w:pos="1628"/>
              </w:tabs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兴业基金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：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王腾霄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国联安基金：王栋</w:t>
            </w:r>
          </w:p>
          <w:p w14:paraId="528B4427" w14:textId="77777777" w:rsidR="006E2548" w:rsidRDefault="00EB4EAC">
            <w:pPr>
              <w:tabs>
                <w:tab w:val="left" w:pos="1628"/>
              </w:tabs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鹏扬基金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：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梁君岳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 xml:space="preserve">                 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工银瑞信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基金：李乾宁</w:t>
            </w:r>
          </w:p>
          <w:p w14:paraId="0B72044E" w14:textId="77777777" w:rsidR="006E2548" w:rsidRDefault="00EB4EAC">
            <w:pPr>
              <w:tabs>
                <w:tab w:val="left" w:pos="1628"/>
              </w:tabs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申万菱</w:t>
            </w:r>
            <w:proofErr w:type="gramEnd"/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信基金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：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刘毅男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国泰基金：张阳</w:t>
            </w:r>
          </w:p>
          <w:p w14:paraId="29111C7C" w14:textId="77777777" w:rsidR="006E2548" w:rsidRDefault="00EB4EAC">
            <w:pPr>
              <w:tabs>
                <w:tab w:val="left" w:pos="1628"/>
              </w:tabs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大成基金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：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唐宁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富国基金：王昭光</w:t>
            </w:r>
          </w:p>
          <w:p w14:paraId="47DCE639" w14:textId="77777777" w:rsidR="006E2548" w:rsidRDefault="00EB4EAC">
            <w:pPr>
              <w:tabs>
                <w:tab w:val="left" w:pos="1628"/>
              </w:tabs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新华基金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：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董晨阳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广发基金：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杨定光</w:t>
            </w:r>
            <w:proofErr w:type="gramEnd"/>
          </w:p>
          <w:p w14:paraId="37C98537" w14:textId="77777777" w:rsidR="006E2548" w:rsidRDefault="00EB4EAC">
            <w:pPr>
              <w:tabs>
                <w:tab w:val="left" w:pos="1628"/>
              </w:tabs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神采基金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：田稼丰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人保养老：曾沭崴</w:t>
            </w:r>
          </w:p>
          <w:p w14:paraId="0179B014" w14:textId="77777777" w:rsidR="006E2548" w:rsidRDefault="00EB4EAC">
            <w:pPr>
              <w:tabs>
                <w:tab w:val="left" w:pos="1628"/>
              </w:tabs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泰康资产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：陈佳艺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中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金资管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：陈琛</w:t>
            </w:r>
          </w:p>
          <w:p w14:paraId="0AF691D2" w14:textId="77777777" w:rsidR="006E2548" w:rsidRDefault="00EB4EAC">
            <w:pPr>
              <w:tabs>
                <w:tab w:val="left" w:pos="1628"/>
              </w:tabs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天风证券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：郭建奇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平安证券：陈福栋、徐勇</w:t>
            </w:r>
          </w:p>
          <w:p w14:paraId="4EEE0A57" w14:textId="77777777" w:rsidR="006E2548" w:rsidRDefault="00EB4EAC">
            <w:pPr>
              <w:tabs>
                <w:tab w:val="left" w:pos="1628"/>
              </w:tabs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申万宏</w:t>
            </w:r>
            <w:proofErr w:type="gramEnd"/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源证券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：姚刚、岳鹏、周超</w:t>
            </w:r>
          </w:p>
        </w:tc>
      </w:tr>
      <w:tr w:rsidR="006E2548" w14:paraId="298AC56D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5CD1" w14:textId="77777777" w:rsidR="006E2548" w:rsidRDefault="00EB4EA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lang w:bidi="ar"/>
              </w:rPr>
              <w:t>会议时间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5CBD" w14:textId="77777777" w:rsidR="006E2548" w:rsidRDefault="00EB4EA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2025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11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日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及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11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7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>日</w:t>
            </w:r>
          </w:p>
        </w:tc>
      </w:tr>
      <w:tr w:rsidR="006E2548" w14:paraId="3B1ACBCF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B870" w14:textId="77777777" w:rsidR="006E2548" w:rsidRDefault="00EB4EA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lang w:bidi="ar"/>
              </w:rPr>
              <w:t>会议地点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DBDA" w14:textId="77777777" w:rsidR="006E2548" w:rsidRDefault="00EB4EA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陕西莱特光电材料股份有限公司会议室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/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线上</w:t>
            </w:r>
          </w:p>
        </w:tc>
      </w:tr>
      <w:tr w:rsidR="006E2548" w14:paraId="01500368" w14:textId="77777777">
        <w:trPr>
          <w:trHeight w:val="659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E8B1" w14:textId="77777777" w:rsidR="006E2548" w:rsidRDefault="00EB4EAC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lang w:bidi="ar"/>
              </w:rPr>
              <w:t>上市公司接待人员姓名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E1BF" w14:textId="77777777" w:rsidR="006E2548" w:rsidRDefault="00EB4EA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董事会秘书：潘香婷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投资者关系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专员：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张尊睿</w:t>
            </w:r>
          </w:p>
        </w:tc>
      </w:tr>
      <w:tr w:rsidR="006E2548" w14:paraId="24D7676B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ADD3" w14:textId="77777777" w:rsidR="006E2548" w:rsidRDefault="00EB4EA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lang w:bidi="ar"/>
              </w:rPr>
              <w:t>投资者关系活动主要内容介绍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F0D4" w14:textId="77777777" w:rsidR="006E2548" w:rsidRDefault="00EB4EAC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问题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shd w:val="clear" w:color="auto" w:fill="FFFFFF"/>
              </w:rPr>
              <w:t>公司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shd w:val="clear" w:color="auto" w:fill="FFFFFF"/>
              </w:rPr>
              <w:t>2025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shd w:val="clear" w:color="auto" w:fill="FFFFFF"/>
              </w:rPr>
              <w:t>年前三季度营收和净利润均实现增长，核心驱动因素是什么？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br/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答</w:t>
            </w:r>
            <w:r>
              <w:rPr>
                <w:rFonts w:ascii="Times New Roman" w:eastAsia="宋体" w:hAnsi="Times New Roman" w:cs="Times New Roman" w:hint="eastAsia"/>
                <w:szCs w:val="21"/>
                <w:shd w:val="clear" w:color="auto" w:fill="FFFFFF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公司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2025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年前三季度实现营业收入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4.23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亿元，同比增长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18.77%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；实现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归母净利润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1.8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亿元，同比增长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38.62%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。业绩双增核心源于三方面协同作用：（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2025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年前三季度，国内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面板厂商加速扩产与出货，面板出货量同比提升，直接拉动对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 xml:space="preserve"> OLED 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终端材料的采购需求，推动公司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终端材料销售收入同比增长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29%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，成为营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收增长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的核心支撑；（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）公司产品梯队持续发力，既有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Red Prime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Green Host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材料保持稳定量产供应，新产品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Red Host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材料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亦实现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小批量供货，收入来源进一步拓宽；（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）公司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lastRenderedPageBreak/>
              <w:t>依托全产业链一体化模式，通过工艺优化与精细化管理深化降本增效，在收入增长基础上提升了整体盈利水平，推动净利润增速高于营收增速。</w:t>
            </w:r>
          </w:p>
          <w:p w14:paraId="1607DCBF" w14:textId="77777777" w:rsidR="006E2548" w:rsidRDefault="00EB4EAC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问题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shd w:val="clear" w:color="auto" w:fill="FFFFFF"/>
              </w:rPr>
              <w:t>国内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shd w:val="clear" w:color="auto" w:fill="FFFFFF"/>
              </w:rPr>
              <w:t>OLED 8.6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shd w:val="clear" w:color="auto" w:fill="FFFFFF"/>
              </w:rPr>
              <w:t>代线的规划及进展？对公司业务的影响？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br/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答</w:t>
            </w:r>
            <w:r>
              <w:rPr>
                <w:rFonts w:ascii="Times New Roman" w:eastAsia="宋体" w:hAnsi="Times New Roman" w:cs="Times New Roman" w:hint="eastAsia"/>
                <w:szCs w:val="21"/>
                <w:shd w:val="clear" w:color="auto" w:fill="FFFFFF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根据天风证券研究所数据，目前国内已建成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OLED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产线总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投资金额超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3,800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亿元，国内已披露的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8.6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代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OLED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产线总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投资规模近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  <w:shd w:val="clear" w:color="auto" w:fill="FFFFFF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500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亿元，相关建设项目正加速推进落地：其中京东方成都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AMOLED8.6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代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线进展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最为领先，预计于今年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月实现首次点亮，明年下半年达成量产目标；维信诺合肥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8.6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代线已完成生产区域全面封顶，当前正处于设备采购冲刺阶段；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TCL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华星广州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8.6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代印刷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OLED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产线已于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2025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月正式启动建设，预期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2027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年实现量产。这些项目的推进是国内显示产业向中大尺寸、高画质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领域突破的关键布局，不仅将完善从中小尺寸到中大尺寸的全尺寸产品供给能力，更能通过规模化产能释放降低单位成本，加速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在平板电脑、笔记本电脑、车载显示等中大尺寸、高端场景的渗透普及。</w:t>
            </w:r>
          </w:p>
          <w:p w14:paraId="3C8939A6" w14:textId="77777777" w:rsidR="006E2548" w:rsidRDefault="00EB4EAC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该产业趋势为公司带来显著增长机遇：一方面，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8.6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代线基板面积较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代线提升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2.16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倍，叠加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Tandem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叠层技术应用，将推动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发光材料需求大幅增长，催生超百亿规模增量市场，同时中尺寸领域的快速渗透将为公司产品拓展广阔应用场景；另一方面，公司已提前布局相关发光材料，目前正配合客户开展验证工作，后续将按需推进产品供应，为长期业务增长筑牢基础。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br/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问题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shd w:val="clear" w:color="auto" w:fill="FFFFFF"/>
              </w:rPr>
              <w:t>请问蓝色材料进展？预计什么时候可以量产？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shd w:val="clear" w:color="auto" w:fill="FFFFFF"/>
              </w:rPr>
              <w:br/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答</w:t>
            </w:r>
            <w:r>
              <w:rPr>
                <w:rFonts w:ascii="Times New Roman" w:eastAsia="宋体" w:hAnsi="Times New Roman" w:cs="Times New Roman" w:hint="eastAsia"/>
                <w:szCs w:val="21"/>
                <w:shd w:val="clear" w:color="auto" w:fill="FFFFFF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公司重点布局蓝色磷光体系材料的开发，并与客户开展联合研发。目前整体进展顺利，材料核心性能指标取得阶段性突破，已在客户端积极推进验证工作，为后续商业化验证奠定基础，有望明年实现国产化导入，具体量产时间仍需结合客户终端产品规划、验证进度综合确定。</w:t>
            </w:r>
          </w:p>
          <w:p w14:paraId="09D68C8B" w14:textId="77777777" w:rsidR="006E2548" w:rsidRDefault="00EB4EAC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问题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：请介绍公司研发规划，并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shd w:val="clear" w:color="auto" w:fill="FFFFFF"/>
              </w:rPr>
              <w:t>展望公司今年业绩情况。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br/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答</w:t>
            </w:r>
            <w:r>
              <w:rPr>
                <w:rFonts w:ascii="Times New Roman" w:eastAsia="宋体" w:hAnsi="Times New Roman" w:cs="Times New Roman" w:hint="eastAsia"/>
                <w:szCs w:val="21"/>
                <w:shd w:val="clear" w:color="auto" w:fill="FFFFFF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在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材料国产化替代进程中，公司始终以技术突破与产品落地为核心，围绕红绿蓝三色发光材料及前沿技术推进研发与产业化，目前已形成清晰研发路线：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Red Prime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Green Host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Red Host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材料均完成国产化突破，可稳定供应下游客户并为营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收增长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提供支撑；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Green Prime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材料与蓝光材料已进入下游客户验证评测阶段，预计明年有望相继实现国产化导入；同时，公司正积极推进新一代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窄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光谱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Dopant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材料研发，持续布局叠层器件连接层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CGL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材料、蓝色磷光材料、窄光谱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高色域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MRTADF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材料等前沿技术，持续加强技术创新与迭代，加速推动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材料国产化替代，助力产业链自主可控。</w:t>
            </w:r>
          </w:p>
          <w:p w14:paraId="67A93561" w14:textId="77777777" w:rsidR="006E2548" w:rsidRDefault="00EB4EAC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lastRenderedPageBreak/>
              <w:t>公司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2025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年前三季度业绩表现稳健，实现营业收入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4.23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亿元，同比增长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18.77%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；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归母净利润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1.8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亿元，同比增长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38.62%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，盈利能力稳步提升。四季度作为消费电子传统旺季，存在周期性需求提振，同时结合公司在手订单情况，公司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2025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年业绩有望实现稳健增长。</w:t>
            </w:r>
          </w:p>
          <w:p w14:paraId="6EACC197" w14:textId="77777777" w:rsidR="006E2548" w:rsidRDefault="00EB4EAC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问题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5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shd w:val="clear" w:color="auto" w:fill="FFFFFF"/>
              </w:rPr>
              <w:t>请问董事长近期有无减持的计划？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shd w:val="clear" w:color="auto" w:fill="FFFFFF"/>
              </w:rPr>
              <w:br/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答</w:t>
            </w:r>
            <w:r>
              <w:rPr>
                <w:rFonts w:ascii="Times New Roman" w:eastAsia="宋体" w:hAnsi="Times New Roman" w:cs="Times New Roman" w:hint="eastAsia"/>
                <w:szCs w:val="21"/>
                <w:shd w:val="clear" w:color="auto" w:fill="FFFFFF"/>
              </w:rPr>
              <w:t>：董事长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对行业发展前景及公司未来发展充满信心，暂无减持计划。</w:t>
            </w:r>
          </w:p>
          <w:p w14:paraId="2D3946D2" w14:textId="77777777" w:rsidR="006E2548" w:rsidRDefault="00EB4EAC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问题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shd w:val="clear" w:color="auto" w:fill="FFFFFF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shd w:val="clear" w:color="auto" w:fill="FFFFFF"/>
              </w:rPr>
              <w:t>公司在股东回报方面有何规划？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shd w:val="clear" w:color="auto" w:fill="FFFFFF"/>
              </w:rPr>
              <w:br/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答</w:t>
            </w:r>
            <w:r>
              <w:rPr>
                <w:rFonts w:ascii="Times New Roman" w:eastAsia="宋体" w:hAnsi="Times New Roman" w:cs="Times New Roman" w:hint="eastAsia"/>
                <w:szCs w:val="21"/>
                <w:shd w:val="clear" w:color="auto" w:fill="FFFFFF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公司高度重视投资者回报。公司推出《未来三年（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2025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-2027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年）股东分红回报规划》，落实打造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长期、稳定、可持续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的股东价值回报机制。（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）分红方面，公司坚持实施积极的分红政策，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2022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年至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年公司已累计实施现金分红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1.65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亿元，分别占当年净利润的比例为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38.15%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31.27%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和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59.97%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。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2025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年半年度，公司派发现金红利人民币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7,189.90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万元（含税），占公司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2025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年半年度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归母净利润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56.85%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。（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）回购方面，公司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年完成上一轮回购计划，累计使用资金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4,999.12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万元回购股份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280.48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万股，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2025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年拟使用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5,000-10,000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万元进行股份回购，截至目前已使用资金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5,000.53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万元，回购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211.96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万股。（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）公司专注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有机材料领域，通过持续研发创新保持行业技术优势，推动业务发展，以良好的业绩表现回馈股东。（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）公司保持关注新兴领域的市场机会，积极寻找与公司发展战略比较契合、有价值的优质项目和标的，与公司现有的业务形成协同，寻求借助外部成熟资源拓展新业务版图，进一步提升公司综合竞争力。</w:t>
            </w:r>
          </w:p>
        </w:tc>
      </w:tr>
      <w:tr w:rsidR="006E2548" w14:paraId="066430ED" w14:textId="77777777">
        <w:trPr>
          <w:trHeight w:val="1165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68C1" w14:textId="77777777" w:rsidR="006E2548" w:rsidRDefault="00EB4EA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lang w:bidi="ar"/>
              </w:rPr>
              <w:lastRenderedPageBreak/>
              <w:t>是否涉及应当披露重大信息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A313" w14:textId="77777777" w:rsidR="006E2548" w:rsidRDefault="00EB4EAC">
            <w:pPr>
              <w:widowControl/>
              <w:spacing w:beforeLines="50" w:before="156" w:afterLines="50" w:after="156"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bidi="ar"/>
              </w:rPr>
              <w:t>否</w:t>
            </w:r>
          </w:p>
        </w:tc>
      </w:tr>
      <w:tr w:rsidR="006E2548" w14:paraId="4DD0A07A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BBCB" w14:textId="77777777" w:rsidR="006E2548" w:rsidRDefault="00EB4EA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lang w:bidi="ar"/>
              </w:rPr>
              <w:t>附件清单（如有）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7049" w14:textId="77777777" w:rsidR="006E2548" w:rsidRDefault="00EB4EAC">
            <w:pPr>
              <w:widowControl/>
              <w:spacing w:beforeLines="50" w:before="156" w:afterLines="50" w:after="156"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无</w:t>
            </w:r>
          </w:p>
        </w:tc>
      </w:tr>
      <w:tr w:rsidR="006E2548" w14:paraId="01B302DB" w14:textId="77777777">
        <w:trPr>
          <w:trHeight w:val="69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B199" w14:textId="77777777" w:rsidR="006E2548" w:rsidRDefault="00EB4EA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lang w:bidi="ar"/>
              </w:rPr>
              <w:t>日期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01F9" w14:textId="77777777" w:rsidR="006E2548" w:rsidRDefault="00EB4EAC">
            <w:pPr>
              <w:widowControl/>
              <w:spacing w:beforeLines="50" w:before="156" w:afterLines="50" w:after="156" w:line="360" w:lineRule="auto"/>
              <w:jc w:val="left"/>
              <w:rPr>
                <w:rFonts w:ascii="Times New Roman" w:eastAsia="宋体" w:hAnsi="Times New Roman" w:cs="Times New Roman"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2025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11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>日</w:t>
            </w:r>
          </w:p>
        </w:tc>
      </w:tr>
    </w:tbl>
    <w:p w14:paraId="74E5812F" w14:textId="77777777" w:rsidR="006E2548" w:rsidRDefault="006E2548"/>
    <w:sectPr w:rsidR="006E2548">
      <w:pgSz w:w="11906" w:h="16838"/>
      <w:pgMar w:top="1135" w:right="1135" w:bottom="851" w:left="113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BlNTc1ZTljNDAyZWZmMjY1MGU1Yjg1NzBlODhmZmMifQ=="/>
  </w:docVars>
  <w:rsids>
    <w:rsidRoot w:val="09ED5870"/>
    <w:rsid w:val="0000515D"/>
    <w:rsid w:val="0016293D"/>
    <w:rsid w:val="0023619C"/>
    <w:rsid w:val="00237321"/>
    <w:rsid w:val="00276EFF"/>
    <w:rsid w:val="002870D4"/>
    <w:rsid w:val="00303410"/>
    <w:rsid w:val="003523A7"/>
    <w:rsid w:val="003559FE"/>
    <w:rsid w:val="003E6839"/>
    <w:rsid w:val="0042313A"/>
    <w:rsid w:val="00450E4E"/>
    <w:rsid w:val="0049500B"/>
    <w:rsid w:val="004A0AB6"/>
    <w:rsid w:val="004A7620"/>
    <w:rsid w:val="00561F8B"/>
    <w:rsid w:val="0060627F"/>
    <w:rsid w:val="006C294A"/>
    <w:rsid w:val="006E2548"/>
    <w:rsid w:val="007148CA"/>
    <w:rsid w:val="00746C9F"/>
    <w:rsid w:val="007E2E16"/>
    <w:rsid w:val="00815C71"/>
    <w:rsid w:val="008D1B2D"/>
    <w:rsid w:val="008E0848"/>
    <w:rsid w:val="008E4F51"/>
    <w:rsid w:val="0091145E"/>
    <w:rsid w:val="0093731C"/>
    <w:rsid w:val="00A54C05"/>
    <w:rsid w:val="00A5717D"/>
    <w:rsid w:val="00A84A3B"/>
    <w:rsid w:val="00AA4350"/>
    <w:rsid w:val="00B13BFE"/>
    <w:rsid w:val="00B85029"/>
    <w:rsid w:val="00C24C9F"/>
    <w:rsid w:val="00CE1C6F"/>
    <w:rsid w:val="00CE7835"/>
    <w:rsid w:val="00D348A8"/>
    <w:rsid w:val="00D532C9"/>
    <w:rsid w:val="00D707EA"/>
    <w:rsid w:val="00D92C52"/>
    <w:rsid w:val="00E32B36"/>
    <w:rsid w:val="00E503E9"/>
    <w:rsid w:val="00E63C4F"/>
    <w:rsid w:val="00E83E8E"/>
    <w:rsid w:val="00EB1320"/>
    <w:rsid w:val="00EB4EAC"/>
    <w:rsid w:val="00F10F74"/>
    <w:rsid w:val="00F62C66"/>
    <w:rsid w:val="010D7DD7"/>
    <w:rsid w:val="012F41F1"/>
    <w:rsid w:val="01975CC6"/>
    <w:rsid w:val="01D83502"/>
    <w:rsid w:val="02012CA2"/>
    <w:rsid w:val="024B505A"/>
    <w:rsid w:val="02510197"/>
    <w:rsid w:val="0296107E"/>
    <w:rsid w:val="029A6F7D"/>
    <w:rsid w:val="03825496"/>
    <w:rsid w:val="039C3694"/>
    <w:rsid w:val="03F31506"/>
    <w:rsid w:val="04636074"/>
    <w:rsid w:val="04D81A19"/>
    <w:rsid w:val="053022E6"/>
    <w:rsid w:val="05314A48"/>
    <w:rsid w:val="05F371F7"/>
    <w:rsid w:val="062956B3"/>
    <w:rsid w:val="07991C98"/>
    <w:rsid w:val="08323B19"/>
    <w:rsid w:val="08BB5C63"/>
    <w:rsid w:val="094D1160"/>
    <w:rsid w:val="09ED5870"/>
    <w:rsid w:val="0BDB744F"/>
    <w:rsid w:val="0D972EDF"/>
    <w:rsid w:val="0F344D93"/>
    <w:rsid w:val="0FAE1344"/>
    <w:rsid w:val="10376C29"/>
    <w:rsid w:val="10D95CB2"/>
    <w:rsid w:val="11C81806"/>
    <w:rsid w:val="11EB4770"/>
    <w:rsid w:val="13256902"/>
    <w:rsid w:val="13E25769"/>
    <w:rsid w:val="155C2C83"/>
    <w:rsid w:val="16493207"/>
    <w:rsid w:val="170D42EA"/>
    <w:rsid w:val="17FF2717"/>
    <w:rsid w:val="188A51D8"/>
    <w:rsid w:val="18B0021C"/>
    <w:rsid w:val="190A1374"/>
    <w:rsid w:val="193F7174"/>
    <w:rsid w:val="19DE010A"/>
    <w:rsid w:val="1C9117EA"/>
    <w:rsid w:val="1EBB0A1A"/>
    <w:rsid w:val="1ED657E9"/>
    <w:rsid w:val="1FCF2ABC"/>
    <w:rsid w:val="1FF22B62"/>
    <w:rsid w:val="204838A0"/>
    <w:rsid w:val="206F7D0E"/>
    <w:rsid w:val="208A6C03"/>
    <w:rsid w:val="21A17A85"/>
    <w:rsid w:val="22032E04"/>
    <w:rsid w:val="24D941F5"/>
    <w:rsid w:val="260C3E00"/>
    <w:rsid w:val="26924756"/>
    <w:rsid w:val="26AE7782"/>
    <w:rsid w:val="26C30DB4"/>
    <w:rsid w:val="285514BC"/>
    <w:rsid w:val="29064F88"/>
    <w:rsid w:val="299D3B3E"/>
    <w:rsid w:val="29F95B61"/>
    <w:rsid w:val="2B8F5708"/>
    <w:rsid w:val="2C8E0BFD"/>
    <w:rsid w:val="2D2B320F"/>
    <w:rsid w:val="2ECD6C74"/>
    <w:rsid w:val="2FAC781C"/>
    <w:rsid w:val="2FCF07C9"/>
    <w:rsid w:val="30375A1D"/>
    <w:rsid w:val="30444C19"/>
    <w:rsid w:val="31EA5447"/>
    <w:rsid w:val="329F26D5"/>
    <w:rsid w:val="32AF043E"/>
    <w:rsid w:val="32B55A55"/>
    <w:rsid w:val="3325691E"/>
    <w:rsid w:val="33D939C5"/>
    <w:rsid w:val="33DB598F"/>
    <w:rsid w:val="3577566A"/>
    <w:rsid w:val="35B91294"/>
    <w:rsid w:val="35BB5A93"/>
    <w:rsid w:val="36D53788"/>
    <w:rsid w:val="381402C8"/>
    <w:rsid w:val="39447B32"/>
    <w:rsid w:val="39B32F0A"/>
    <w:rsid w:val="3A4122C4"/>
    <w:rsid w:val="3A8D5509"/>
    <w:rsid w:val="3B8161B9"/>
    <w:rsid w:val="3BE21884"/>
    <w:rsid w:val="3C241E9D"/>
    <w:rsid w:val="3C4340D1"/>
    <w:rsid w:val="3D1553DB"/>
    <w:rsid w:val="3D584C3D"/>
    <w:rsid w:val="3D9A2417"/>
    <w:rsid w:val="3E481E73"/>
    <w:rsid w:val="3FDD6172"/>
    <w:rsid w:val="3FED4F6D"/>
    <w:rsid w:val="40F65123"/>
    <w:rsid w:val="41B62D25"/>
    <w:rsid w:val="4348021F"/>
    <w:rsid w:val="438147D1"/>
    <w:rsid w:val="442D1A71"/>
    <w:rsid w:val="447F5EC2"/>
    <w:rsid w:val="45CD0A54"/>
    <w:rsid w:val="46811BA9"/>
    <w:rsid w:val="47871694"/>
    <w:rsid w:val="47E66258"/>
    <w:rsid w:val="49867CF3"/>
    <w:rsid w:val="499F0DB5"/>
    <w:rsid w:val="49B54134"/>
    <w:rsid w:val="4A5F3BCC"/>
    <w:rsid w:val="4C69403F"/>
    <w:rsid w:val="4CC21042"/>
    <w:rsid w:val="4E010709"/>
    <w:rsid w:val="4F4827ED"/>
    <w:rsid w:val="509947B0"/>
    <w:rsid w:val="50AF5D81"/>
    <w:rsid w:val="511B6F73"/>
    <w:rsid w:val="51B31BC1"/>
    <w:rsid w:val="52162767"/>
    <w:rsid w:val="52611934"/>
    <w:rsid w:val="531E7A45"/>
    <w:rsid w:val="539B439B"/>
    <w:rsid w:val="552C5BF2"/>
    <w:rsid w:val="55387588"/>
    <w:rsid w:val="5554620A"/>
    <w:rsid w:val="55BB2AD2"/>
    <w:rsid w:val="573C35C9"/>
    <w:rsid w:val="575013A1"/>
    <w:rsid w:val="57D72BAF"/>
    <w:rsid w:val="5875340D"/>
    <w:rsid w:val="58ED5175"/>
    <w:rsid w:val="5B6641ED"/>
    <w:rsid w:val="5C013209"/>
    <w:rsid w:val="5C166CB5"/>
    <w:rsid w:val="5D026789"/>
    <w:rsid w:val="5D543665"/>
    <w:rsid w:val="5D8B2B27"/>
    <w:rsid w:val="5E6617A9"/>
    <w:rsid w:val="5F7A2286"/>
    <w:rsid w:val="5F917744"/>
    <w:rsid w:val="602120CC"/>
    <w:rsid w:val="602364FC"/>
    <w:rsid w:val="61461FA8"/>
    <w:rsid w:val="624125B1"/>
    <w:rsid w:val="624B51DE"/>
    <w:rsid w:val="62A06426"/>
    <w:rsid w:val="62D41677"/>
    <w:rsid w:val="64836EB1"/>
    <w:rsid w:val="649C0675"/>
    <w:rsid w:val="64A07A63"/>
    <w:rsid w:val="64FD020B"/>
    <w:rsid w:val="65FE49D8"/>
    <w:rsid w:val="660B3D1D"/>
    <w:rsid w:val="66A240CC"/>
    <w:rsid w:val="68A51AEC"/>
    <w:rsid w:val="696C260A"/>
    <w:rsid w:val="698B4480"/>
    <w:rsid w:val="699C3992"/>
    <w:rsid w:val="6A5512F0"/>
    <w:rsid w:val="6A8F2708"/>
    <w:rsid w:val="6AD541DF"/>
    <w:rsid w:val="6BFB1A23"/>
    <w:rsid w:val="6C150EE6"/>
    <w:rsid w:val="6CF7043C"/>
    <w:rsid w:val="6D183A32"/>
    <w:rsid w:val="6D4D62AE"/>
    <w:rsid w:val="6D947F8B"/>
    <w:rsid w:val="6FDE58E3"/>
    <w:rsid w:val="70AB3BE8"/>
    <w:rsid w:val="70C66AA3"/>
    <w:rsid w:val="70ED2282"/>
    <w:rsid w:val="71016B88"/>
    <w:rsid w:val="71AF05F5"/>
    <w:rsid w:val="72874010"/>
    <w:rsid w:val="72AC0553"/>
    <w:rsid w:val="73B7063C"/>
    <w:rsid w:val="7428537F"/>
    <w:rsid w:val="743B2FB6"/>
    <w:rsid w:val="749B50F4"/>
    <w:rsid w:val="750A09BD"/>
    <w:rsid w:val="751A15A2"/>
    <w:rsid w:val="75232716"/>
    <w:rsid w:val="75F60CA4"/>
    <w:rsid w:val="76452218"/>
    <w:rsid w:val="7846246B"/>
    <w:rsid w:val="79490272"/>
    <w:rsid w:val="79654980"/>
    <w:rsid w:val="7A124B07"/>
    <w:rsid w:val="7A8E3997"/>
    <w:rsid w:val="7ADF6568"/>
    <w:rsid w:val="7B260758"/>
    <w:rsid w:val="7B9E6925"/>
    <w:rsid w:val="7BAF2C7A"/>
    <w:rsid w:val="7DDA3B8E"/>
    <w:rsid w:val="7E3F39F1"/>
    <w:rsid w:val="7EFB200E"/>
    <w:rsid w:val="7F08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20185"/>
  <w15:docId w15:val="{9351D81A-211B-41A7-8831-1C48398A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qFormat/>
    <w:rPr>
      <w:b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2136</Words>
  <Characters>675</Characters>
  <Application>Microsoft Office Word</Application>
  <DocSecurity>0</DocSecurity>
  <Lines>28</Lines>
  <Paragraphs>43</Paragraphs>
  <ScaleCrop>false</ScaleCrop>
  <Company>P R C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张尊睿</dc:creator>
  <cp:lastModifiedBy>柴萌远</cp:lastModifiedBy>
  <cp:revision>16</cp:revision>
  <dcterms:created xsi:type="dcterms:W3CDTF">2025-04-25T11:04:00Z</dcterms:created>
  <dcterms:modified xsi:type="dcterms:W3CDTF">2025-11-07T09:43:00Z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A5CF3FC8CA284D4ABF3A70396BE2D877_13</vt:lpwstr>
  </property>
  <property fmtid="{D5CDD505-2E9C-101B-9397-08002B2CF9AE}" pid="4" name="KSOTemplateDocerSaveRecord">
    <vt:lpwstr>eyJoZGlkIjoiOTZhN2FhNjJiOGQwOGUyOWUxYjBiMDhkMmY4NjgyMzMiLCJ1c2VySWQiOiIxMDczODMxODQxIn0=</vt:lpwstr>
  </property>
</Properties>
</file>