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ascii="Times" w:hAnsi="Times" w:cs="Times New Roman"/>
          <w:bCs/>
          <w:sz w:val="24"/>
          <w:szCs w:val="24"/>
        </w:rPr>
        <w:t>5-0</w:t>
      </w:r>
      <w:r>
        <w:rPr>
          <w:rFonts w:hint="eastAsia" w:ascii="Times" w:hAnsi="Times" w:cs="Times New Roman"/>
          <w:bCs/>
          <w:sz w:val="24"/>
          <w:szCs w:val="24"/>
          <w:lang w:val="en-US" w:eastAsia="zh-CN"/>
        </w:rPr>
        <w:t>17</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1"/>
            <w:bookmarkStart w:id="2" w:name="OLE_LINK2"/>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lang w:val="en-US" w:eastAsia="zh-CN"/>
              </w:rPr>
              <w:t>大成基金、创金合信基金、粤开证券、首创证券、申银万国证券共5</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11月11日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37BB93C6">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围绕物联网及人工智能应用不断推出具有竞争力的各类芯片、产品和解决方案，广泛应用于智能电网、智能家居、光伏新能源、综合能效管理、智能照明、智慧酒店等各种智慧物联应用领域。</w:t>
      </w:r>
    </w:p>
    <w:p w14:paraId="76EE01C0">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1-9月，公司实现营业收入26,981.07万元，同比下降28.62%，实现归属于上市公司股东的净利润2,238.00万元，同比下降55.55%。主要系智能电网市场招投标进度及供货节奏放缓，同时，公司芯片产品加大力度在非电网物联网领域应用布局，持续加大非电网物联网市场相关研发投入，研发费用同比增加共同影响所致。2025年1-9月非电物联网营业收入较上年同期增长30%，为公司多赛道协同发展奠定坚实基础。截至2025年9月30日，公司在手订单为19,809.54万元。</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0FC6D925">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截至今年九月底公司的在手订单约1.98亿元，能否拆分一下其中电网市场与非电网市场的占比？</w:t>
      </w:r>
    </w:p>
    <w:p w14:paraId="1F24A0B9">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答：在手订单大部分来自电网市场。</w:t>
      </w:r>
    </w:p>
    <w:p w14:paraId="36EC6520">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公司PLC产品在酒店领域的市场空间有多大？</w:t>
      </w:r>
    </w:p>
    <w:p w14:paraId="09176C21">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w:t>
      </w:r>
      <w:r>
        <w:rPr>
          <w:rFonts w:hint="default" w:ascii="Times" w:hAnsi="Times" w:cs="Times New Roman"/>
          <w:iCs/>
          <w:color w:val="000000" w:themeColor="text1"/>
          <w:sz w:val="24"/>
          <w:szCs w:val="24"/>
          <w:highlight w:val="none"/>
          <w:lang w:val="en-US" w:eastAsia="zh-CN"/>
          <w14:textFill>
            <w14:solidFill>
              <w14:schemeClr w14:val="tx1"/>
            </w14:solidFill>
          </w14:textFill>
        </w:rPr>
        <w:t>中国酒店业市场正处于蓬勃发展的阶段，每年新建酒店客房数量20万间+，存量酒店数量近百万家，每年翻新数量约240万间。当前，酒店客房智能化，已逐步成为酒店的标准配置。酒店智能客控（酒店客房的智能产品）市场近百亿规模。与传统智能客控产品（有线、无线）相比，PLC具有易安装、易维护、高可靠、响应快、极高性价比等优势，公司推出的PLC智能酒店客控系统有助于酒店行业智能化升级，拥有巨大的市场需求和广阔的市场空间。</w:t>
      </w:r>
    </w:p>
    <w:p w14:paraId="4E8FDDA8">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近期，亚朵集团发布智能客控招标公告，明确要各厂家客控方案“基于力合微PLC客控模组的定制通讯协议方案”，覆盖亚朵、亚朵S、萨和等全系列酒店品牌的客控产品升级需求。</w:t>
      </w:r>
      <w:r>
        <w:rPr>
          <w:rFonts w:hint="eastAsia" w:ascii="Times" w:hAnsi="Times" w:cs="Times New Roman"/>
          <w:iCs/>
          <w:color w:val="000000" w:themeColor="text1"/>
          <w:sz w:val="24"/>
          <w:szCs w:val="24"/>
          <w:highlight w:val="none"/>
          <w:lang w:val="en-US" w:eastAsia="zh-CN"/>
          <w14:textFill>
            <w14:solidFill>
              <w14:schemeClr w14:val="tx1"/>
            </w14:solidFill>
          </w14:textFill>
        </w:rPr>
        <w:t>公司</w:t>
      </w:r>
      <w:r>
        <w:rPr>
          <w:rFonts w:hint="default" w:ascii="Times" w:hAnsi="Times" w:cs="Times New Roman"/>
          <w:iCs/>
          <w:color w:val="000000" w:themeColor="text1"/>
          <w:sz w:val="24"/>
          <w:szCs w:val="24"/>
          <w:highlight w:val="none"/>
          <w:lang w:val="en-US" w:eastAsia="zh-CN"/>
          <w14:textFill>
            <w14:solidFill>
              <w14:schemeClr w14:val="tx1"/>
            </w14:solidFill>
          </w14:textFill>
        </w:rPr>
        <w:t>PLC</w:t>
      </w:r>
      <w:r>
        <w:rPr>
          <w:rFonts w:hint="eastAsia" w:ascii="Times" w:hAnsi="Times" w:cs="Times New Roman"/>
          <w:iCs/>
          <w:color w:val="000000" w:themeColor="text1"/>
          <w:sz w:val="24"/>
          <w:szCs w:val="24"/>
          <w:highlight w:val="none"/>
          <w:lang w:val="en-US" w:eastAsia="zh-CN"/>
          <w14:textFill>
            <w14:solidFill>
              <w14:schemeClr w14:val="tx1"/>
            </w14:solidFill>
          </w14:textFill>
        </w:rPr>
        <w:t>技术</w:t>
      </w:r>
      <w:r>
        <w:rPr>
          <w:rFonts w:hint="default" w:ascii="Times" w:hAnsi="Times" w:cs="Times New Roman"/>
          <w:iCs/>
          <w:color w:val="000000" w:themeColor="text1"/>
          <w:sz w:val="24"/>
          <w:szCs w:val="24"/>
          <w:highlight w:val="none"/>
          <w:lang w:val="en-US" w:eastAsia="zh-CN"/>
          <w14:textFill>
            <w14:solidFill>
              <w14:schemeClr w14:val="tx1"/>
            </w14:solidFill>
          </w14:textFill>
        </w:rPr>
        <w:t>正式获亚朵集团选用，</w:t>
      </w:r>
      <w:r>
        <w:rPr>
          <w:rFonts w:hint="eastAsia" w:ascii="Times" w:hAnsi="Times" w:cs="Times New Roman"/>
          <w:iCs/>
          <w:color w:val="000000" w:themeColor="text1"/>
          <w:sz w:val="24"/>
          <w:szCs w:val="24"/>
          <w:highlight w:val="none"/>
          <w:lang w:val="en-US" w:eastAsia="zh-CN"/>
          <w14:textFill>
            <w14:solidFill>
              <w14:schemeClr w14:val="tx1"/>
            </w14:solidFill>
          </w14:textFill>
        </w:rPr>
        <w:t>用于</w:t>
      </w:r>
      <w:r>
        <w:rPr>
          <w:rFonts w:hint="default" w:ascii="Times" w:hAnsi="Times" w:cs="Times New Roman"/>
          <w:iCs/>
          <w:color w:val="000000" w:themeColor="text1"/>
          <w:sz w:val="24"/>
          <w:szCs w:val="24"/>
          <w:highlight w:val="none"/>
          <w:lang w:val="en-US" w:eastAsia="zh-CN"/>
          <w14:textFill>
            <w14:solidFill>
              <w14:schemeClr w14:val="tx1"/>
            </w14:solidFill>
          </w14:textFill>
        </w:rPr>
        <w:t>打造亚朵集团新一代酒店智能客控</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进一步</w:t>
      </w:r>
      <w:r>
        <w:rPr>
          <w:rFonts w:hint="eastAsia" w:ascii="Times" w:hAnsi="Times" w:cs="Times New Roman"/>
          <w:iCs/>
          <w:color w:val="000000" w:themeColor="text1"/>
          <w:sz w:val="24"/>
          <w:szCs w:val="24"/>
          <w:highlight w:val="none"/>
          <w:lang w:val="en-US" w:eastAsia="zh-CN"/>
          <w14:textFill>
            <w14:solidFill>
              <w14:schemeClr w14:val="tx1"/>
            </w14:solidFill>
          </w14:textFill>
        </w:rPr>
        <w:t>印证了</w:t>
      </w:r>
      <w:r>
        <w:rPr>
          <w:rFonts w:hint="default" w:ascii="Times" w:hAnsi="Times" w:cs="Times New Roman"/>
          <w:iCs/>
          <w:color w:val="000000" w:themeColor="text1"/>
          <w:sz w:val="24"/>
          <w:szCs w:val="24"/>
          <w:highlight w:val="none"/>
          <w:lang w:val="en-US" w:eastAsia="zh-CN"/>
          <w14:textFill>
            <w14:solidFill>
              <w14:schemeClr w14:val="tx1"/>
            </w14:solidFill>
          </w14:textFill>
        </w:rPr>
        <w:t>公司PLC技术及芯片在酒店智能化领域的优势及竞争力。</w:t>
      </w:r>
    </w:p>
    <w:p w14:paraId="7B0ABF29">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在酒店智能化改造场景，公司PLC技术可以解决哪些痛点？</w:t>
      </w:r>
    </w:p>
    <w:p w14:paraId="645F790E">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w:t>
      </w:r>
      <w:r>
        <w:rPr>
          <w:rFonts w:hint="default" w:ascii="Times" w:hAnsi="Times" w:cs="Times New Roman"/>
          <w:iCs/>
          <w:color w:val="000000" w:themeColor="text1"/>
          <w:sz w:val="24"/>
          <w:szCs w:val="24"/>
          <w:highlight w:val="none"/>
          <w:lang w:val="en-US" w:eastAsia="zh-CN"/>
          <w14:textFill>
            <w14:solidFill>
              <w14:schemeClr w14:val="tx1"/>
            </w14:solidFill>
          </w14:textFill>
        </w:rPr>
        <w:t>在酒店智能化升级中，</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布线复杂、施工复杂、互联互通、稳定性、后期维护等</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一直是行业面临的痛点。与传统智能客控产品（有线、无线）相比，PLC技术在安装、维护、可靠性、响应速度和性价比等方面具备显著优势。</w:t>
      </w:r>
      <w:r>
        <w:rPr>
          <w:rFonts w:hint="eastAsia" w:ascii="Times" w:hAnsi="Times" w:cs="Times New Roman"/>
          <w:iCs/>
          <w:color w:val="000000" w:themeColor="text1"/>
          <w:sz w:val="24"/>
          <w:szCs w:val="24"/>
          <w:highlight w:val="none"/>
          <w:lang w:val="en-US" w:eastAsia="zh-CN"/>
          <w14:textFill>
            <w14:solidFill>
              <w14:schemeClr w14:val="tx1"/>
            </w14:solidFill>
          </w14:textFill>
        </w:rPr>
        <w:t>公司</w:t>
      </w:r>
      <w:r>
        <w:rPr>
          <w:rFonts w:hint="default" w:ascii="Times" w:hAnsi="Times" w:cs="Times New Roman"/>
          <w:iCs/>
          <w:color w:val="000000" w:themeColor="text1"/>
          <w:sz w:val="24"/>
          <w:szCs w:val="24"/>
          <w:highlight w:val="none"/>
          <w:lang w:val="en-US" w:eastAsia="zh-CN"/>
          <w14:textFill>
            <w14:solidFill>
              <w14:schemeClr w14:val="tx1"/>
            </w14:solidFill>
          </w14:textFill>
        </w:rPr>
        <w:t>PLC技术凭借基于电线、</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有电线即可通信</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，无需额外凿墙铺线、既适合前装又适合后装改造等特点，同时，又具有丰富的PLCP互联互通产品生态，较好化解上述痛点问题</w:t>
      </w:r>
      <w:r>
        <w:rPr>
          <w:rFonts w:hint="eastAsia" w:ascii="Times" w:hAnsi="Times" w:cs="Times New Roman"/>
          <w:iCs/>
          <w:color w:val="000000" w:themeColor="text1"/>
          <w:sz w:val="24"/>
          <w:szCs w:val="24"/>
          <w:highlight w:val="none"/>
          <w:lang w:val="en-US" w:eastAsia="zh-CN"/>
          <w14:textFill>
            <w14:solidFill>
              <w14:schemeClr w14:val="tx1"/>
            </w14:solidFill>
          </w14:textFill>
        </w:rPr>
        <w:t>。</w:t>
      </w:r>
    </w:p>
    <w:p w14:paraId="2814A86B">
      <w:pPr>
        <w:pStyle w:val="18"/>
        <w:numPr>
          <w:ilvl w:val="0"/>
          <w:numId w:val="1"/>
        </w:numPr>
        <w:spacing w:before="156" w:beforeLines="50" w:after="156" w:afterLines="50" w:line="360" w:lineRule="auto"/>
        <w:ind w:left="-62" w:leftChars="0" w:firstLine="482" w:firstLineChars="0"/>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在智能家居领域，公司是否与地产商接触过？对于未来房地产行业以及智能家居改造市场的前景如何看待？</w:t>
      </w:r>
    </w:p>
    <w:p w14:paraId="618AD3DC">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答：房地产行业的波动正在将市场焦点从“增量”转向“存量”。长期来看，中国智能家居市场仍保持高速增长、渗透率快速爬升的态势，发展空间广阔。PLC技术依托既有电线即可通信，无需重新布线、即插即用，显著降低安装门槛和成本，既适合前装也适合后装，尤其是现在房地产商倾向于精装交付，并寻求智能化卖点实现差异化，这为PLC 技术在智能家居领域的商业化应用及规模化发展带来了积极的市场机遇。</w:t>
      </w:r>
    </w:p>
    <w:p w14:paraId="6238483D">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公司近期回片成功的 PLC/WiFi/蓝牙智能家居多模芯片，主要有什么优势？</w:t>
      </w:r>
    </w:p>
    <w:p w14:paraId="4CC01FE0">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答：在当前智能家居场景中，设备需同时连接互联网并与全屋设备互动，涉及多模式通信（WiFi 、蓝牙、PLC等）。传统方案采用多颗独立通信芯片，不仅推高硬件成本，还带来体积和结构复杂化问题。这一多模芯片将三种通信功能集成于单颗芯片，支持标准WiFi协议、蓝牙协议，以及高速PLC协议，并采用高性能的32位CPU处理器，可进行应用程序开发，从根源</w:t>
      </w:r>
      <w:bookmarkStart w:id="3" w:name="_GoBack"/>
      <w:bookmarkEnd w:id="3"/>
      <w:r>
        <w:rPr>
          <w:rFonts w:hint="eastAsia" w:ascii="Times" w:hAnsi="Times" w:cs="Times New Roman"/>
          <w:iCs/>
          <w:color w:val="000000" w:themeColor="text1"/>
          <w:sz w:val="24"/>
          <w:szCs w:val="24"/>
          <w:highlight w:val="none"/>
          <w:lang w:val="en-US" w:eastAsia="zh-CN"/>
          <w14:textFill>
            <w14:solidFill>
              <w14:schemeClr w14:val="tx1"/>
            </w14:solidFill>
          </w14:textFill>
        </w:rPr>
        <w:t>上解决了上述问题。</w:t>
      </w: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632"/>
    </w:sdtPr>
    <w:sdtContent>
      <w:p w14:paraId="0C37EAEB">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0B66136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1C50D4B"/>
    <w:rsid w:val="02407B6D"/>
    <w:rsid w:val="037D4A4F"/>
    <w:rsid w:val="04174F18"/>
    <w:rsid w:val="04AE24FB"/>
    <w:rsid w:val="04E43F88"/>
    <w:rsid w:val="04FA39B3"/>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D67569D"/>
    <w:rsid w:val="0E4C1E3A"/>
    <w:rsid w:val="0F161477"/>
    <w:rsid w:val="0FB4161F"/>
    <w:rsid w:val="107E7600"/>
    <w:rsid w:val="10CA4DFE"/>
    <w:rsid w:val="112A47B8"/>
    <w:rsid w:val="11AA7A82"/>
    <w:rsid w:val="12284BB9"/>
    <w:rsid w:val="129213B0"/>
    <w:rsid w:val="129465AA"/>
    <w:rsid w:val="13C8306A"/>
    <w:rsid w:val="141B5398"/>
    <w:rsid w:val="14D82694"/>
    <w:rsid w:val="15152076"/>
    <w:rsid w:val="16326631"/>
    <w:rsid w:val="169807C6"/>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E53F9D"/>
    <w:rsid w:val="29093990"/>
    <w:rsid w:val="29323AD2"/>
    <w:rsid w:val="2B716900"/>
    <w:rsid w:val="2BB414D2"/>
    <w:rsid w:val="2E5442C8"/>
    <w:rsid w:val="2E825B1B"/>
    <w:rsid w:val="2EB711FE"/>
    <w:rsid w:val="2F7F0E93"/>
    <w:rsid w:val="2FDE2B35"/>
    <w:rsid w:val="30C90297"/>
    <w:rsid w:val="31352C2E"/>
    <w:rsid w:val="31BD55E2"/>
    <w:rsid w:val="32242D99"/>
    <w:rsid w:val="323B0398"/>
    <w:rsid w:val="328E4D91"/>
    <w:rsid w:val="32A14DE2"/>
    <w:rsid w:val="32F36B07"/>
    <w:rsid w:val="331F3040"/>
    <w:rsid w:val="34AE7463"/>
    <w:rsid w:val="37860D10"/>
    <w:rsid w:val="37EB016A"/>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C055FA4"/>
    <w:rsid w:val="4C9362E3"/>
    <w:rsid w:val="4CF7225E"/>
    <w:rsid w:val="4D550B87"/>
    <w:rsid w:val="4DCD6482"/>
    <w:rsid w:val="4DCE7D56"/>
    <w:rsid w:val="4E1D1E4D"/>
    <w:rsid w:val="4E507D5B"/>
    <w:rsid w:val="4F174AC6"/>
    <w:rsid w:val="50121065"/>
    <w:rsid w:val="50377F99"/>
    <w:rsid w:val="50696F54"/>
    <w:rsid w:val="50F4551B"/>
    <w:rsid w:val="51A047A3"/>
    <w:rsid w:val="524F3C2C"/>
    <w:rsid w:val="526F66CB"/>
    <w:rsid w:val="52CD2FCE"/>
    <w:rsid w:val="53414851"/>
    <w:rsid w:val="53C13D3D"/>
    <w:rsid w:val="56397EB4"/>
    <w:rsid w:val="57DE433B"/>
    <w:rsid w:val="589A78F2"/>
    <w:rsid w:val="591202DA"/>
    <w:rsid w:val="59C81C62"/>
    <w:rsid w:val="59CE54CA"/>
    <w:rsid w:val="5A424B99"/>
    <w:rsid w:val="5ABC6E48"/>
    <w:rsid w:val="5B037DC6"/>
    <w:rsid w:val="5B292CE8"/>
    <w:rsid w:val="5B3B7AE2"/>
    <w:rsid w:val="5BA04F42"/>
    <w:rsid w:val="5BBD138A"/>
    <w:rsid w:val="5C636775"/>
    <w:rsid w:val="5D2E63E3"/>
    <w:rsid w:val="5E4F23A8"/>
    <w:rsid w:val="5EE00BB3"/>
    <w:rsid w:val="6002139A"/>
    <w:rsid w:val="61554209"/>
    <w:rsid w:val="61DA7FEB"/>
    <w:rsid w:val="622F71DA"/>
    <w:rsid w:val="625B36D1"/>
    <w:rsid w:val="6416019A"/>
    <w:rsid w:val="647F503A"/>
    <w:rsid w:val="648972BF"/>
    <w:rsid w:val="663B05C4"/>
    <w:rsid w:val="67116659"/>
    <w:rsid w:val="674E193A"/>
    <w:rsid w:val="685428D3"/>
    <w:rsid w:val="688F2C21"/>
    <w:rsid w:val="6936122B"/>
    <w:rsid w:val="6A4610AD"/>
    <w:rsid w:val="6A77122D"/>
    <w:rsid w:val="6AAF779C"/>
    <w:rsid w:val="6AC217F3"/>
    <w:rsid w:val="6B843BFD"/>
    <w:rsid w:val="6B8C2174"/>
    <w:rsid w:val="6BAA75E1"/>
    <w:rsid w:val="6C9A56E0"/>
    <w:rsid w:val="6CEE17E4"/>
    <w:rsid w:val="6D6217FE"/>
    <w:rsid w:val="6DAA2B61"/>
    <w:rsid w:val="6DDC3DAD"/>
    <w:rsid w:val="6DE6206B"/>
    <w:rsid w:val="6EDD18B4"/>
    <w:rsid w:val="6EE61926"/>
    <w:rsid w:val="6F482129"/>
    <w:rsid w:val="6F512010"/>
    <w:rsid w:val="6F5631CE"/>
    <w:rsid w:val="6F6C6382"/>
    <w:rsid w:val="70136F79"/>
    <w:rsid w:val="706B6231"/>
    <w:rsid w:val="70F51137"/>
    <w:rsid w:val="71745210"/>
    <w:rsid w:val="71D00B79"/>
    <w:rsid w:val="720E58D5"/>
    <w:rsid w:val="72E72B55"/>
    <w:rsid w:val="733F4DEF"/>
    <w:rsid w:val="735F6ABA"/>
    <w:rsid w:val="738D418A"/>
    <w:rsid w:val="741C69DA"/>
    <w:rsid w:val="74D7500F"/>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2C41F4"/>
    <w:rsid w:val="7D9832A7"/>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1685</Words>
  <Characters>1810</Characters>
  <Lines>13</Lines>
  <Paragraphs>3</Paragraphs>
  <TotalTime>19</TotalTime>
  <ScaleCrop>false</ScaleCrop>
  <LinksUpToDate>false</LinksUpToDate>
  <CharactersWithSpaces>1937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2025-11-12T09:44:45Z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