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4FAB9" w14:textId="77777777" w:rsidR="00711656" w:rsidRDefault="00000000">
      <w:pPr>
        <w:spacing w:beforeLines="50" w:before="156" w:afterLines="50" w:after="156" w:line="400" w:lineRule="exact"/>
        <w:rPr>
          <w:rFonts w:ascii="宋体" w:hAnsi="宋体" w:hint="eastAsia"/>
          <w:bCs/>
          <w:iCs/>
          <w:color w:val="000000" w:themeColor="text1"/>
          <w:sz w:val="24"/>
        </w:rPr>
      </w:pPr>
      <w:r>
        <w:rPr>
          <w:rFonts w:ascii="宋体" w:hAnsi="宋体" w:hint="eastAsia"/>
          <w:bCs/>
          <w:iCs/>
          <w:color w:val="000000" w:themeColor="text1"/>
          <w:sz w:val="24"/>
        </w:rPr>
        <w:t>证券代码：</w:t>
      </w:r>
      <w:r>
        <w:rPr>
          <w:rFonts w:ascii="宋体" w:hAnsi="宋体" w:cs="宋体"/>
          <w:color w:val="000000" w:themeColor="text1"/>
          <w:sz w:val="24"/>
        </w:rPr>
        <w:t>688063</w:t>
      </w:r>
      <w:r>
        <w:rPr>
          <w:rFonts w:ascii="宋体" w:hAnsi="宋体" w:hint="eastAsia"/>
          <w:bCs/>
          <w:iCs/>
          <w:color w:val="000000" w:themeColor="text1"/>
          <w:sz w:val="24"/>
        </w:rPr>
        <w:t xml:space="preserve">                      </w:t>
      </w:r>
      <w:r>
        <w:rPr>
          <w:rFonts w:ascii="宋体" w:hAnsi="宋体"/>
          <w:bCs/>
          <w:iCs/>
          <w:color w:val="000000" w:themeColor="text1"/>
          <w:sz w:val="24"/>
        </w:rPr>
        <w:t xml:space="preserve">         </w:t>
      </w:r>
      <w:r>
        <w:rPr>
          <w:rFonts w:ascii="宋体" w:hAnsi="宋体" w:hint="eastAsia"/>
          <w:bCs/>
          <w:iCs/>
          <w:color w:val="000000" w:themeColor="text1"/>
          <w:sz w:val="24"/>
        </w:rPr>
        <w:t xml:space="preserve"> </w:t>
      </w:r>
      <w:r>
        <w:rPr>
          <w:rFonts w:ascii="宋体" w:hAnsi="宋体"/>
          <w:bCs/>
          <w:iCs/>
          <w:color w:val="000000" w:themeColor="text1"/>
          <w:sz w:val="24"/>
        </w:rPr>
        <w:t xml:space="preserve">   </w:t>
      </w:r>
      <w:r>
        <w:rPr>
          <w:rFonts w:ascii="宋体" w:hAnsi="宋体" w:hint="eastAsia"/>
          <w:bCs/>
          <w:iCs/>
          <w:color w:val="000000" w:themeColor="text1"/>
          <w:sz w:val="24"/>
        </w:rPr>
        <w:t>证券简称：</w:t>
      </w:r>
      <w:r>
        <w:rPr>
          <w:rFonts w:ascii="宋体" w:hAnsi="宋体" w:cs="宋体"/>
          <w:color w:val="000000" w:themeColor="text1"/>
          <w:sz w:val="24"/>
        </w:rPr>
        <w:t>派能科技</w:t>
      </w:r>
    </w:p>
    <w:p w14:paraId="64F358C2" w14:textId="77777777" w:rsidR="00711656" w:rsidRDefault="00000000">
      <w:pPr>
        <w:spacing w:beforeLines="50" w:before="156" w:afterLines="50" w:after="156" w:line="400" w:lineRule="exact"/>
        <w:jc w:val="center"/>
        <w:rPr>
          <w:rFonts w:ascii="黑体" w:eastAsia="黑体" w:hAnsi="黑体" w:cs="黑体" w:hint="eastAsia"/>
          <w:b/>
          <w:color w:val="000000" w:themeColor="text1"/>
          <w:sz w:val="32"/>
          <w:szCs w:val="32"/>
        </w:rPr>
      </w:pPr>
      <w:r>
        <w:rPr>
          <w:rFonts w:ascii="黑体" w:eastAsia="黑体" w:hAnsi="黑体" w:cs="黑体" w:hint="eastAsia"/>
          <w:b/>
          <w:color w:val="000000" w:themeColor="text1"/>
          <w:sz w:val="32"/>
        </w:rPr>
        <w:t>上海派能能源科技股份有限</w:t>
      </w:r>
      <w:r>
        <w:rPr>
          <w:rFonts w:ascii="黑体" w:eastAsia="黑体" w:hAnsi="黑体" w:cs="黑体" w:hint="eastAsia"/>
          <w:b/>
          <w:color w:val="000000" w:themeColor="text1"/>
          <w:sz w:val="32"/>
          <w:szCs w:val="32"/>
        </w:rPr>
        <w:t>公司</w:t>
      </w:r>
    </w:p>
    <w:p w14:paraId="66A0E43D" w14:textId="77777777" w:rsidR="00711656" w:rsidRDefault="00000000">
      <w:pPr>
        <w:spacing w:beforeLines="50" w:before="156" w:afterLines="50" w:after="156" w:line="400" w:lineRule="exact"/>
        <w:jc w:val="center"/>
        <w:rPr>
          <w:rFonts w:ascii="宋体" w:hAnsi="宋体" w:hint="eastAsia"/>
          <w:b/>
          <w:bCs/>
          <w:iCs/>
          <w:color w:val="000000" w:themeColor="text1"/>
          <w:sz w:val="32"/>
          <w:szCs w:val="32"/>
        </w:rPr>
      </w:pPr>
      <w:r>
        <w:rPr>
          <w:rFonts w:ascii="黑体" w:eastAsia="黑体" w:hAnsi="黑体" w:cs="黑体" w:hint="eastAsia"/>
          <w:b/>
          <w:bCs/>
          <w:iCs/>
          <w:color w:val="000000" w:themeColor="text1"/>
          <w:sz w:val="32"/>
          <w:szCs w:val="32"/>
        </w:rPr>
        <w:t>投资者关系活动记录表</w:t>
      </w:r>
    </w:p>
    <w:p w14:paraId="4560E93A" w14:textId="77777777" w:rsidR="00711656" w:rsidRDefault="00000000">
      <w:pPr>
        <w:spacing w:line="400" w:lineRule="exact"/>
        <w:rPr>
          <w:rFonts w:ascii="宋体" w:hAnsi="宋体" w:hint="eastAsia"/>
          <w:bCs/>
          <w:iCs/>
          <w:color w:val="000000" w:themeColor="text1"/>
          <w:sz w:val="24"/>
        </w:rPr>
      </w:pPr>
      <w:r>
        <w:rPr>
          <w:rFonts w:ascii="宋体" w:hAnsi="宋体" w:hint="eastAsia"/>
          <w:bCs/>
          <w:iCs/>
          <w:color w:val="000000" w:themeColor="text1"/>
          <w:sz w:val="24"/>
        </w:rPr>
        <w:t xml:space="preserve">                                                </w:t>
      </w:r>
      <w:r>
        <w:rPr>
          <w:rFonts w:ascii="宋体" w:hAnsi="宋体"/>
          <w:bCs/>
          <w:iCs/>
          <w:color w:val="000000" w:themeColor="text1"/>
          <w:sz w:val="24"/>
        </w:rPr>
        <w:t xml:space="preserve">    </w:t>
      </w:r>
      <w:r>
        <w:rPr>
          <w:rFonts w:ascii="宋体" w:hAnsi="宋体" w:hint="eastAsia"/>
          <w:bCs/>
          <w:iCs/>
          <w:color w:val="000000" w:themeColor="text1"/>
          <w:sz w:val="24"/>
        </w:rPr>
        <w:t xml:space="preserve">  编号：</w:t>
      </w:r>
      <w:r>
        <w:rPr>
          <w:rFonts w:ascii="宋体" w:hAnsi="宋体" w:cs="宋体"/>
          <w:color w:val="000000" w:themeColor="text1"/>
          <w:sz w:val="24"/>
        </w:rPr>
        <w:t>202</w:t>
      </w:r>
      <w:r>
        <w:rPr>
          <w:rFonts w:ascii="宋体" w:hAnsi="宋体" w:cs="宋体" w:hint="eastAsia"/>
          <w:color w:val="000000" w:themeColor="text1"/>
          <w:sz w:val="24"/>
        </w:rPr>
        <w:t>5</w:t>
      </w:r>
      <w:r>
        <w:rPr>
          <w:rFonts w:ascii="宋体" w:hAnsi="宋体" w:cs="宋体"/>
          <w:color w:val="000000" w:themeColor="text1"/>
          <w:sz w:val="24"/>
        </w:rPr>
        <w:t>-0</w:t>
      </w:r>
      <w:r>
        <w:rPr>
          <w:rFonts w:ascii="宋体" w:hAnsi="宋体" w:cs="宋体" w:hint="eastAsia"/>
          <w:color w:val="000000" w:themeColor="text1"/>
          <w:sz w:val="24"/>
        </w:rPr>
        <w:t>05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6588"/>
      </w:tblGrid>
      <w:tr w:rsidR="00711656" w14:paraId="38C2F6B6" w14:textId="77777777">
        <w:tc>
          <w:tcPr>
            <w:tcW w:w="1728" w:type="dxa"/>
            <w:tcBorders>
              <w:top w:val="single" w:sz="4" w:space="0" w:color="auto"/>
              <w:left w:val="single" w:sz="4" w:space="0" w:color="auto"/>
              <w:bottom w:val="single" w:sz="4" w:space="0" w:color="auto"/>
              <w:right w:val="single" w:sz="4" w:space="0" w:color="auto"/>
            </w:tcBorders>
            <w:vAlign w:val="center"/>
          </w:tcPr>
          <w:p w14:paraId="31E03395" w14:textId="77777777" w:rsidR="00711656" w:rsidRDefault="00000000">
            <w:pPr>
              <w:spacing w:line="276" w:lineRule="auto"/>
              <w:jc w:val="center"/>
              <w:rPr>
                <w:rFonts w:ascii="宋体" w:hAnsi="宋体" w:cs="宋体" w:hint="eastAsia"/>
                <w:b/>
                <w:bCs/>
                <w:iCs/>
                <w:color w:val="000000" w:themeColor="text1"/>
                <w:szCs w:val="21"/>
              </w:rPr>
            </w:pPr>
            <w:r>
              <w:rPr>
                <w:rFonts w:ascii="宋体" w:hAnsi="宋体" w:cs="宋体" w:hint="eastAsia"/>
                <w:b/>
                <w:bCs/>
                <w:iCs/>
                <w:color w:val="000000" w:themeColor="text1"/>
                <w:szCs w:val="21"/>
              </w:rPr>
              <w:t>投资者关系活动类别</w:t>
            </w:r>
          </w:p>
        </w:tc>
        <w:tc>
          <w:tcPr>
            <w:tcW w:w="6588" w:type="dxa"/>
            <w:tcBorders>
              <w:top w:val="single" w:sz="4" w:space="0" w:color="auto"/>
              <w:left w:val="single" w:sz="4" w:space="0" w:color="auto"/>
              <w:bottom w:val="single" w:sz="4" w:space="0" w:color="auto"/>
              <w:right w:val="single" w:sz="4" w:space="0" w:color="auto"/>
            </w:tcBorders>
          </w:tcPr>
          <w:p w14:paraId="0127A8FC" w14:textId="77777777" w:rsidR="00711656" w:rsidRDefault="00000000">
            <w:pPr>
              <w:spacing w:line="360" w:lineRule="auto"/>
              <w:rPr>
                <w:rFonts w:ascii="宋体" w:hAnsi="宋体" w:cs="宋体" w:hint="eastAsia"/>
                <w:bCs/>
                <w:iCs/>
                <w:color w:val="000000" w:themeColor="text1"/>
                <w:szCs w:val="21"/>
              </w:rPr>
            </w:pPr>
            <w:r>
              <w:rPr>
                <w:rFonts w:ascii="宋体" w:hAnsi="宋体" w:cs="宋体" w:hint="eastAsia"/>
                <w:color w:val="000000" w:themeColor="text1"/>
                <w:szCs w:val="21"/>
              </w:rPr>
              <w:sym w:font="Wingdings 2" w:char="00A3"/>
            </w:r>
            <w:r>
              <w:rPr>
                <w:rFonts w:ascii="宋体" w:hAnsi="宋体" w:cs="宋体" w:hint="eastAsia"/>
                <w:color w:val="000000" w:themeColor="text1"/>
                <w:szCs w:val="21"/>
              </w:rPr>
              <w:t xml:space="preserve">特定对象调研        </w:t>
            </w:r>
            <w:r>
              <w:rPr>
                <w:rFonts w:ascii="宋体" w:hAnsi="宋体" w:cs="宋体" w:hint="eastAsia"/>
                <w:color w:val="000000" w:themeColor="text1"/>
                <w:szCs w:val="21"/>
              </w:rPr>
              <w:sym w:font="Wingdings 2" w:char="00A3"/>
            </w:r>
            <w:r>
              <w:rPr>
                <w:rFonts w:ascii="宋体" w:hAnsi="宋体" w:cs="宋体" w:hint="eastAsia"/>
                <w:color w:val="000000" w:themeColor="text1"/>
                <w:szCs w:val="21"/>
              </w:rPr>
              <w:t>分析师会议</w:t>
            </w:r>
          </w:p>
          <w:p w14:paraId="698A7475" w14:textId="77777777" w:rsidR="00711656" w:rsidRDefault="00000000">
            <w:pPr>
              <w:spacing w:line="360" w:lineRule="auto"/>
              <w:rPr>
                <w:rFonts w:ascii="宋体" w:hAnsi="宋体" w:cs="宋体" w:hint="eastAsia"/>
                <w:bCs/>
                <w:iCs/>
                <w:color w:val="000000" w:themeColor="text1"/>
                <w:szCs w:val="21"/>
              </w:rPr>
            </w:pPr>
            <w:r>
              <w:rPr>
                <w:rFonts w:ascii="宋体" w:hAnsi="宋体" w:cs="宋体" w:hint="eastAsia"/>
                <w:color w:val="000000" w:themeColor="text1"/>
                <w:szCs w:val="21"/>
              </w:rPr>
              <w:sym w:font="Wingdings 2" w:char="00A3"/>
            </w:r>
            <w:r>
              <w:rPr>
                <w:rFonts w:ascii="宋体" w:hAnsi="宋体" w:cs="宋体" w:hint="eastAsia"/>
                <w:color w:val="000000" w:themeColor="text1"/>
                <w:szCs w:val="21"/>
              </w:rPr>
              <w:t xml:space="preserve">媒体采访            </w:t>
            </w:r>
            <w:r>
              <w:rPr>
                <w:rFonts w:ascii="宋体" w:hAnsi="宋体" w:cs="宋体" w:hint="eastAsia"/>
                <w:color w:val="000000" w:themeColor="text1"/>
                <w:szCs w:val="21"/>
              </w:rPr>
              <w:sym w:font="Wingdings 2" w:char="0052"/>
            </w:r>
            <w:r>
              <w:rPr>
                <w:rFonts w:ascii="宋体" w:hAnsi="宋体" w:cs="宋体" w:hint="eastAsia"/>
                <w:color w:val="000000" w:themeColor="text1"/>
                <w:szCs w:val="21"/>
              </w:rPr>
              <w:t>业绩说明会</w:t>
            </w:r>
          </w:p>
          <w:p w14:paraId="7FA28D16" w14:textId="77777777" w:rsidR="00711656" w:rsidRDefault="00000000">
            <w:pPr>
              <w:spacing w:line="360" w:lineRule="auto"/>
              <w:rPr>
                <w:rFonts w:ascii="宋体" w:hAnsi="宋体" w:cs="宋体" w:hint="eastAsia"/>
                <w:bCs/>
                <w:iCs/>
                <w:color w:val="000000" w:themeColor="text1"/>
                <w:szCs w:val="21"/>
              </w:rPr>
            </w:pPr>
            <w:r>
              <w:rPr>
                <w:rFonts w:ascii="宋体" w:hAnsi="宋体" w:cs="宋体" w:hint="eastAsia"/>
                <w:color w:val="000000" w:themeColor="text1"/>
                <w:szCs w:val="21"/>
              </w:rPr>
              <w:sym w:font="Wingdings 2" w:char="00A3"/>
            </w:r>
            <w:r>
              <w:rPr>
                <w:rFonts w:ascii="宋体" w:hAnsi="宋体" w:cs="宋体" w:hint="eastAsia"/>
                <w:color w:val="000000" w:themeColor="text1"/>
                <w:szCs w:val="21"/>
              </w:rPr>
              <w:t xml:space="preserve">新闻发布会          </w:t>
            </w:r>
            <w:r>
              <w:rPr>
                <w:rFonts w:ascii="宋体" w:hAnsi="宋体" w:cs="宋体" w:hint="eastAsia"/>
                <w:color w:val="000000" w:themeColor="text1"/>
                <w:szCs w:val="21"/>
              </w:rPr>
              <w:sym w:font="Wingdings 2" w:char="00A3"/>
            </w:r>
            <w:r>
              <w:rPr>
                <w:rFonts w:ascii="宋体" w:hAnsi="宋体" w:cs="宋体" w:hint="eastAsia"/>
                <w:color w:val="000000" w:themeColor="text1"/>
                <w:szCs w:val="21"/>
              </w:rPr>
              <w:t>路演活动</w:t>
            </w:r>
          </w:p>
          <w:p w14:paraId="1A0B6F78" w14:textId="77777777" w:rsidR="00711656" w:rsidRDefault="00000000">
            <w:pPr>
              <w:tabs>
                <w:tab w:val="left" w:pos="3045"/>
                <w:tab w:val="center" w:pos="3199"/>
              </w:tabs>
              <w:spacing w:line="360" w:lineRule="auto"/>
              <w:rPr>
                <w:rFonts w:ascii="宋体" w:hAnsi="宋体" w:cs="宋体" w:hint="eastAsia"/>
                <w:bCs/>
                <w:iCs/>
                <w:color w:val="000000" w:themeColor="text1"/>
                <w:szCs w:val="21"/>
              </w:rPr>
            </w:pPr>
            <w:r>
              <w:rPr>
                <w:rFonts w:ascii="宋体" w:hAnsi="宋体" w:cs="宋体" w:hint="eastAsia"/>
                <w:color w:val="000000" w:themeColor="text1"/>
                <w:szCs w:val="21"/>
              </w:rPr>
              <w:sym w:font="Wingdings 2" w:char="00A3"/>
            </w:r>
            <w:r>
              <w:rPr>
                <w:rFonts w:ascii="宋体" w:hAnsi="宋体" w:cs="宋体" w:hint="eastAsia"/>
                <w:color w:val="000000" w:themeColor="text1"/>
                <w:szCs w:val="21"/>
              </w:rPr>
              <w:t xml:space="preserve">现场参观            </w:t>
            </w:r>
            <w:r>
              <w:rPr>
                <w:rFonts w:ascii="宋体" w:hAnsi="宋体" w:cs="宋体" w:hint="eastAsia"/>
                <w:color w:val="000000" w:themeColor="text1"/>
                <w:szCs w:val="21"/>
              </w:rPr>
              <w:sym w:font="Wingdings 2" w:char="00A3"/>
            </w:r>
            <w:r>
              <w:rPr>
                <w:rFonts w:ascii="宋体" w:hAnsi="宋体" w:cs="宋体" w:hint="eastAsia"/>
                <w:color w:val="000000" w:themeColor="text1"/>
                <w:szCs w:val="21"/>
              </w:rPr>
              <w:t>电话通讯</w:t>
            </w:r>
          </w:p>
          <w:p w14:paraId="43C0066A" w14:textId="77777777" w:rsidR="00711656" w:rsidRDefault="00000000">
            <w:pPr>
              <w:tabs>
                <w:tab w:val="center" w:pos="3199"/>
              </w:tabs>
              <w:spacing w:line="360" w:lineRule="auto"/>
              <w:rPr>
                <w:rFonts w:ascii="宋体" w:hAnsi="宋体" w:cs="宋体" w:hint="eastAsia"/>
                <w:bCs/>
                <w:iCs/>
                <w:color w:val="000000" w:themeColor="text1"/>
                <w:szCs w:val="21"/>
              </w:rPr>
            </w:pPr>
            <w:r>
              <w:rPr>
                <w:rFonts w:ascii="宋体" w:hAnsi="宋体" w:cs="宋体" w:hint="eastAsia"/>
                <w:color w:val="000000" w:themeColor="text1"/>
                <w:szCs w:val="21"/>
              </w:rPr>
              <w:sym w:font="Wingdings 2" w:char="00A3"/>
            </w:r>
            <w:r>
              <w:rPr>
                <w:rFonts w:ascii="宋体" w:hAnsi="宋体" w:cs="宋体" w:hint="eastAsia"/>
                <w:color w:val="000000" w:themeColor="text1"/>
                <w:szCs w:val="21"/>
              </w:rPr>
              <w:t>其他</w:t>
            </w:r>
          </w:p>
        </w:tc>
      </w:tr>
      <w:tr w:rsidR="00711656" w14:paraId="2C9C08CC" w14:textId="77777777">
        <w:trPr>
          <w:trHeight w:val="914"/>
        </w:trPr>
        <w:tc>
          <w:tcPr>
            <w:tcW w:w="1728" w:type="dxa"/>
            <w:tcBorders>
              <w:top w:val="single" w:sz="4" w:space="0" w:color="auto"/>
              <w:left w:val="single" w:sz="4" w:space="0" w:color="auto"/>
              <w:bottom w:val="single" w:sz="4" w:space="0" w:color="auto"/>
              <w:right w:val="single" w:sz="4" w:space="0" w:color="auto"/>
            </w:tcBorders>
            <w:vAlign w:val="center"/>
          </w:tcPr>
          <w:p w14:paraId="2A7F74AB" w14:textId="77777777" w:rsidR="00711656" w:rsidRDefault="00000000">
            <w:pPr>
              <w:spacing w:line="276" w:lineRule="auto"/>
              <w:jc w:val="center"/>
              <w:rPr>
                <w:rFonts w:ascii="宋体" w:hAnsi="宋体" w:cs="宋体" w:hint="eastAsia"/>
                <w:b/>
                <w:bCs/>
                <w:iCs/>
                <w:color w:val="000000" w:themeColor="text1"/>
                <w:szCs w:val="21"/>
              </w:rPr>
            </w:pPr>
            <w:r>
              <w:rPr>
                <w:rFonts w:ascii="宋体" w:hAnsi="宋体" w:cs="宋体" w:hint="eastAsia"/>
                <w:b/>
                <w:bCs/>
                <w:iCs/>
                <w:color w:val="000000" w:themeColor="text1"/>
                <w:szCs w:val="21"/>
              </w:rPr>
              <w:t>参与单位名称及人员姓名</w:t>
            </w:r>
          </w:p>
        </w:tc>
        <w:tc>
          <w:tcPr>
            <w:tcW w:w="6588" w:type="dxa"/>
            <w:tcBorders>
              <w:top w:val="single" w:sz="4" w:space="0" w:color="auto"/>
              <w:left w:val="single" w:sz="4" w:space="0" w:color="auto"/>
              <w:bottom w:val="single" w:sz="4" w:space="0" w:color="auto"/>
              <w:right w:val="single" w:sz="4" w:space="0" w:color="auto"/>
            </w:tcBorders>
            <w:vAlign w:val="center"/>
          </w:tcPr>
          <w:p w14:paraId="76AB81B6" w14:textId="77777777" w:rsidR="00711656" w:rsidRDefault="00000000">
            <w:pPr>
              <w:spacing w:line="276" w:lineRule="auto"/>
              <w:rPr>
                <w:rFonts w:ascii="宋体" w:hAnsi="宋体" w:cs="宋体" w:hint="eastAsia"/>
                <w:color w:val="000000" w:themeColor="text1"/>
                <w:szCs w:val="21"/>
              </w:rPr>
            </w:pPr>
            <w:r>
              <w:rPr>
                <w:rFonts w:ascii="宋体" w:hAnsi="宋体" w:cs="宋体" w:hint="eastAsia"/>
                <w:color w:val="000000" w:themeColor="text1"/>
                <w:szCs w:val="21"/>
              </w:rPr>
              <w:t>线上参与“2025年上海辖区上市公司三季报集体业绩说明会”活动的上海派能能源科技股份有限公司（以下简称“公司”）投资者。</w:t>
            </w:r>
          </w:p>
        </w:tc>
      </w:tr>
      <w:tr w:rsidR="00711656" w14:paraId="04277E51" w14:textId="77777777">
        <w:trPr>
          <w:trHeight w:val="463"/>
        </w:trPr>
        <w:tc>
          <w:tcPr>
            <w:tcW w:w="1728" w:type="dxa"/>
            <w:tcBorders>
              <w:top w:val="single" w:sz="4" w:space="0" w:color="auto"/>
              <w:left w:val="single" w:sz="4" w:space="0" w:color="auto"/>
              <w:bottom w:val="single" w:sz="4" w:space="0" w:color="auto"/>
              <w:right w:val="single" w:sz="4" w:space="0" w:color="auto"/>
            </w:tcBorders>
            <w:vAlign w:val="center"/>
          </w:tcPr>
          <w:p w14:paraId="790A4050" w14:textId="77777777" w:rsidR="00711656" w:rsidRDefault="00000000">
            <w:pPr>
              <w:spacing w:line="276" w:lineRule="auto"/>
              <w:jc w:val="center"/>
              <w:rPr>
                <w:rFonts w:ascii="宋体" w:hAnsi="宋体" w:cs="宋体" w:hint="eastAsia"/>
                <w:b/>
                <w:bCs/>
                <w:iCs/>
                <w:color w:val="000000" w:themeColor="text1"/>
                <w:szCs w:val="21"/>
              </w:rPr>
            </w:pPr>
            <w:r>
              <w:rPr>
                <w:rFonts w:ascii="宋体" w:hAnsi="宋体" w:cs="宋体" w:hint="eastAsia"/>
                <w:b/>
                <w:bCs/>
                <w:iCs/>
                <w:color w:val="000000" w:themeColor="text1"/>
                <w:szCs w:val="21"/>
              </w:rPr>
              <w:t>时间</w:t>
            </w:r>
          </w:p>
        </w:tc>
        <w:tc>
          <w:tcPr>
            <w:tcW w:w="6588" w:type="dxa"/>
            <w:tcBorders>
              <w:top w:val="single" w:sz="4" w:space="0" w:color="auto"/>
              <w:left w:val="single" w:sz="4" w:space="0" w:color="auto"/>
              <w:bottom w:val="single" w:sz="4" w:space="0" w:color="auto"/>
              <w:right w:val="single" w:sz="4" w:space="0" w:color="auto"/>
            </w:tcBorders>
            <w:vAlign w:val="center"/>
          </w:tcPr>
          <w:p w14:paraId="195244D6" w14:textId="77777777" w:rsidR="00711656" w:rsidRDefault="00000000">
            <w:pPr>
              <w:spacing w:line="360" w:lineRule="auto"/>
              <w:rPr>
                <w:rFonts w:ascii="宋体" w:hAnsi="宋体" w:cs="宋体" w:hint="eastAsia"/>
                <w:bCs/>
                <w:iCs/>
                <w:color w:val="000000" w:themeColor="text1"/>
                <w:szCs w:val="21"/>
              </w:rPr>
            </w:pPr>
            <w:r>
              <w:rPr>
                <w:rFonts w:ascii="宋体" w:hAnsi="宋体" w:cs="宋体" w:hint="eastAsia"/>
                <w:bCs/>
                <w:iCs/>
                <w:color w:val="000000" w:themeColor="text1"/>
                <w:szCs w:val="21"/>
              </w:rPr>
              <w:t>2025年11月13日（星期四）下午15:00-16:30</w:t>
            </w:r>
          </w:p>
        </w:tc>
      </w:tr>
      <w:tr w:rsidR="00711656" w14:paraId="2C0FE261" w14:textId="77777777">
        <w:tc>
          <w:tcPr>
            <w:tcW w:w="1728" w:type="dxa"/>
            <w:tcBorders>
              <w:top w:val="single" w:sz="4" w:space="0" w:color="auto"/>
              <w:left w:val="single" w:sz="4" w:space="0" w:color="auto"/>
              <w:bottom w:val="single" w:sz="4" w:space="0" w:color="auto"/>
              <w:right w:val="single" w:sz="4" w:space="0" w:color="auto"/>
            </w:tcBorders>
            <w:vAlign w:val="center"/>
          </w:tcPr>
          <w:p w14:paraId="7A25A238" w14:textId="77777777" w:rsidR="00711656" w:rsidRDefault="00000000">
            <w:pPr>
              <w:spacing w:line="276" w:lineRule="auto"/>
              <w:jc w:val="center"/>
              <w:rPr>
                <w:rFonts w:ascii="宋体" w:hAnsi="宋体" w:cs="宋体" w:hint="eastAsia"/>
                <w:b/>
                <w:bCs/>
                <w:iCs/>
                <w:color w:val="000000" w:themeColor="text1"/>
                <w:szCs w:val="21"/>
              </w:rPr>
            </w:pPr>
            <w:r>
              <w:rPr>
                <w:rFonts w:ascii="宋体" w:hAnsi="宋体" w:cs="宋体" w:hint="eastAsia"/>
                <w:b/>
                <w:bCs/>
                <w:iCs/>
                <w:color w:val="000000" w:themeColor="text1"/>
                <w:szCs w:val="21"/>
              </w:rPr>
              <w:t>地点</w:t>
            </w:r>
          </w:p>
        </w:tc>
        <w:tc>
          <w:tcPr>
            <w:tcW w:w="6588" w:type="dxa"/>
            <w:tcBorders>
              <w:top w:val="single" w:sz="4" w:space="0" w:color="auto"/>
              <w:left w:val="single" w:sz="4" w:space="0" w:color="auto"/>
              <w:bottom w:val="single" w:sz="4" w:space="0" w:color="auto"/>
              <w:right w:val="single" w:sz="4" w:space="0" w:color="auto"/>
            </w:tcBorders>
            <w:vAlign w:val="center"/>
          </w:tcPr>
          <w:p w14:paraId="10CD3269" w14:textId="77777777" w:rsidR="00711656" w:rsidRDefault="00000000">
            <w:pPr>
              <w:spacing w:line="276" w:lineRule="auto"/>
              <w:rPr>
                <w:rFonts w:ascii="宋体" w:hAnsi="宋体" w:cs="宋体" w:hint="eastAsia"/>
                <w:bCs/>
                <w:iCs/>
                <w:color w:val="000000" w:themeColor="text1"/>
                <w:szCs w:val="21"/>
              </w:rPr>
            </w:pPr>
            <w:r>
              <w:rPr>
                <w:rFonts w:ascii="宋体" w:hAnsi="宋体" w:cs="宋体" w:hint="eastAsia"/>
                <w:bCs/>
                <w:iCs/>
                <w:color w:val="000000" w:themeColor="text1"/>
                <w:szCs w:val="21"/>
              </w:rPr>
              <w:t>上海证券交易所上证路演中心</w:t>
            </w:r>
          </w:p>
          <w:p w14:paraId="2B13A78F" w14:textId="77777777" w:rsidR="00711656" w:rsidRDefault="00000000">
            <w:pPr>
              <w:spacing w:line="276" w:lineRule="auto"/>
              <w:rPr>
                <w:rFonts w:ascii="宋体" w:hAnsi="宋体" w:cs="宋体" w:hint="eastAsia"/>
                <w:bCs/>
                <w:iCs/>
                <w:color w:val="000000" w:themeColor="text1"/>
                <w:szCs w:val="21"/>
              </w:rPr>
            </w:pPr>
            <w:r>
              <w:rPr>
                <w:rFonts w:ascii="宋体" w:hAnsi="宋体" w:cs="宋体" w:hint="eastAsia"/>
                <w:bCs/>
                <w:iCs/>
                <w:color w:val="000000" w:themeColor="text1"/>
                <w:szCs w:val="21"/>
              </w:rPr>
              <w:t>（网址：https://roadshow.sseinfo.com/）</w:t>
            </w:r>
          </w:p>
        </w:tc>
      </w:tr>
      <w:tr w:rsidR="00711656" w14:paraId="1ACC8928" w14:textId="77777777">
        <w:trPr>
          <w:trHeight w:val="765"/>
        </w:trPr>
        <w:tc>
          <w:tcPr>
            <w:tcW w:w="1728" w:type="dxa"/>
            <w:tcBorders>
              <w:top w:val="single" w:sz="4" w:space="0" w:color="auto"/>
              <w:left w:val="single" w:sz="4" w:space="0" w:color="auto"/>
              <w:bottom w:val="single" w:sz="4" w:space="0" w:color="auto"/>
              <w:right w:val="single" w:sz="4" w:space="0" w:color="auto"/>
            </w:tcBorders>
            <w:vAlign w:val="center"/>
          </w:tcPr>
          <w:p w14:paraId="786C7D60" w14:textId="77777777" w:rsidR="00711656" w:rsidRDefault="00000000">
            <w:pPr>
              <w:spacing w:line="276" w:lineRule="auto"/>
              <w:jc w:val="center"/>
              <w:rPr>
                <w:rFonts w:ascii="宋体" w:hAnsi="宋体" w:cs="宋体" w:hint="eastAsia"/>
                <w:b/>
                <w:bCs/>
                <w:iCs/>
                <w:color w:val="000000" w:themeColor="text1"/>
                <w:szCs w:val="21"/>
              </w:rPr>
            </w:pPr>
            <w:r>
              <w:rPr>
                <w:rFonts w:ascii="宋体" w:hAnsi="宋体" w:cs="宋体" w:hint="eastAsia"/>
                <w:b/>
                <w:bCs/>
                <w:iCs/>
                <w:color w:val="000000" w:themeColor="text1"/>
                <w:szCs w:val="21"/>
              </w:rPr>
              <w:t>上市公司接待人员姓名</w:t>
            </w:r>
          </w:p>
        </w:tc>
        <w:tc>
          <w:tcPr>
            <w:tcW w:w="6588" w:type="dxa"/>
            <w:tcBorders>
              <w:top w:val="single" w:sz="4" w:space="0" w:color="auto"/>
              <w:left w:val="single" w:sz="4" w:space="0" w:color="auto"/>
              <w:bottom w:val="single" w:sz="4" w:space="0" w:color="auto"/>
              <w:right w:val="single" w:sz="4" w:space="0" w:color="auto"/>
            </w:tcBorders>
            <w:vAlign w:val="center"/>
          </w:tcPr>
          <w:p w14:paraId="7512B96B" w14:textId="77777777" w:rsidR="00711656" w:rsidRDefault="00000000">
            <w:pPr>
              <w:spacing w:line="276" w:lineRule="auto"/>
              <w:rPr>
                <w:rFonts w:ascii="宋体" w:hAnsi="宋体" w:cs="宋体" w:hint="eastAsia"/>
                <w:bCs/>
                <w:iCs/>
                <w:color w:val="000000" w:themeColor="text1"/>
                <w:szCs w:val="21"/>
              </w:rPr>
            </w:pPr>
            <w:r>
              <w:rPr>
                <w:rFonts w:ascii="宋体" w:hAnsi="宋体" w:cs="宋体" w:hint="eastAsia"/>
                <w:bCs/>
                <w:iCs/>
                <w:color w:val="000000" w:themeColor="text1"/>
                <w:szCs w:val="21"/>
              </w:rPr>
              <w:t>公司董事、总裁 谈文先生；</w:t>
            </w:r>
          </w:p>
          <w:p w14:paraId="6A602D4A" w14:textId="77777777" w:rsidR="00711656" w:rsidRDefault="00000000">
            <w:pPr>
              <w:spacing w:line="276" w:lineRule="auto"/>
              <w:rPr>
                <w:rFonts w:ascii="宋体" w:hAnsi="宋体" w:cs="宋体" w:hint="eastAsia"/>
                <w:bCs/>
                <w:iCs/>
                <w:color w:val="000000" w:themeColor="text1"/>
                <w:szCs w:val="21"/>
              </w:rPr>
            </w:pPr>
            <w:r>
              <w:rPr>
                <w:rFonts w:ascii="宋体" w:hAnsi="宋体" w:cs="宋体" w:hint="eastAsia"/>
                <w:bCs/>
                <w:iCs/>
                <w:color w:val="000000" w:themeColor="text1"/>
                <w:szCs w:val="21"/>
              </w:rPr>
              <w:t>公司独立董事 李德成先生；</w:t>
            </w:r>
          </w:p>
          <w:p w14:paraId="06B64D9F" w14:textId="77777777" w:rsidR="00711656" w:rsidRDefault="00000000">
            <w:pPr>
              <w:spacing w:line="276" w:lineRule="auto"/>
              <w:rPr>
                <w:rFonts w:ascii="宋体" w:hAnsi="宋体" w:cs="宋体" w:hint="eastAsia"/>
                <w:bCs/>
                <w:iCs/>
                <w:color w:val="000000" w:themeColor="text1"/>
                <w:szCs w:val="21"/>
              </w:rPr>
            </w:pPr>
            <w:r>
              <w:rPr>
                <w:rFonts w:ascii="宋体" w:hAnsi="宋体" w:cs="宋体" w:hint="eastAsia"/>
                <w:bCs/>
                <w:iCs/>
                <w:color w:val="000000" w:themeColor="text1"/>
                <w:szCs w:val="21"/>
              </w:rPr>
              <w:t>公司副总裁、财务负责人、董事会秘书 叶文举先生。</w:t>
            </w:r>
          </w:p>
        </w:tc>
      </w:tr>
      <w:tr w:rsidR="00711656" w14:paraId="3ED35232" w14:textId="77777777">
        <w:trPr>
          <w:trHeight w:val="99"/>
        </w:trPr>
        <w:tc>
          <w:tcPr>
            <w:tcW w:w="1728" w:type="dxa"/>
            <w:tcBorders>
              <w:top w:val="single" w:sz="4" w:space="0" w:color="auto"/>
              <w:left w:val="single" w:sz="4" w:space="0" w:color="auto"/>
              <w:bottom w:val="single" w:sz="4" w:space="0" w:color="auto"/>
              <w:right w:val="single" w:sz="4" w:space="0" w:color="auto"/>
            </w:tcBorders>
            <w:vAlign w:val="center"/>
          </w:tcPr>
          <w:p w14:paraId="33B68671" w14:textId="77777777" w:rsidR="00711656" w:rsidRDefault="00000000">
            <w:pPr>
              <w:spacing w:line="276" w:lineRule="auto"/>
              <w:jc w:val="center"/>
              <w:rPr>
                <w:rFonts w:ascii="宋体" w:hAnsi="宋体" w:cs="宋体" w:hint="eastAsia"/>
                <w:b/>
                <w:bCs/>
                <w:iCs/>
                <w:color w:val="000000" w:themeColor="text1"/>
                <w:szCs w:val="21"/>
              </w:rPr>
            </w:pPr>
            <w:r>
              <w:rPr>
                <w:rFonts w:ascii="宋体" w:hAnsi="宋体" w:cs="宋体" w:hint="eastAsia"/>
                <w:b/>
                <w:bCs/>
                <w:iCs/>
                <w:color w:val="000000" w:themeColor="text1"/>
                <w:szCs w:val="21"/>
              </w:rPr>
              <w:t>投资者关系活动主要内容介绍</w:t>
            </w:r>
          </w:p>
        </w:tc>
        <w:tc>
          <w:tcPr>
            <w:tcW w:w="6588" w:type="dxa"/>
            <w:tcBorders>
              <w:top w:val="single" w:sz="4" w:space="0" w:color="auto"/>
              <w:left w:val="single" w:sz="4" w:space="0" w:color="auto"/>
              <w:bottom w:val="single" w:sz="4" w:space="0" w:color="auto"/>
              <w:right w:val="single" w:sz="4" w:space="0" w:color="auto"/>
            </w:tcBorders>
          </w:tcPr>
          <w:p w14:paraId="7C507EC1" w14:textId="1DC73841" w:rsidR="00711656" w:rsidRDefault="00000000">
            <w:pPr>
              <w:spacing w:line="276" w:lineRule="auto"/>
              <w:rPr>
                <w:rFonts w:ascii="宋体" w:hAnsi="宋体" w:cs="宋体" w:hint="eastAsia"/>
                <w:b/>
                <w:bCs/>
                <w:szCs w:val="21"/>
                <w:lang w:bidi="ar"/>
              </w:rPr>
            </w:pPr>
            <w:r>
              <w:rPr>
                <w:rFonts w:ascii="宋体" w:hAnsi="宋体" w:cs="宋体" w:hint="eastAsia"/>
                <w:b/>
                <w:bCs/>
                <w:szCs w:val="21"/>
                <w:lang w:bidi="ar"/>
              </w:rPr>
              <w:t>公司参加“2025年上海辖区上市公司三季报集体业绩说明会”活动，就投资者关心的公司经营成果、公司治理、发展战略和经营状况等问题进行了在线交流，主要内容包括：</w:t>
            </w:r>
          </w:p>
          <w:p w14:paraId="5299DA79" w14:textId="77777777" w:rsidR="00711656" w:rsidRDefault="00711656">
            <w:pPr>
              <w:spacing w:line="276" w:lineRule="auto"/>
              <w:rPr>
                <w:rFonts w:ascii="宋体" w:hAnsi="宋体" w:cs="宋体" w:hint="eastAsia"/>
                <w:b/>
                <w:bCs/>
                <w:szCs w:val="21"/>
                <w:lang w:bidi="ar"/>
              </w:rPr>
            </w:pPr>
          </w:p>
          <w:p w14:paraId="735F3776" w14:textId="77777777" w:rsidR="00711656" w:rsidRDefault="00000000">
            <w:pPr>
              <w:spacing w:line="276" w:lineRule="auto"/>
              <w:rPr>
                <w:rFonts w:ascii="宋体" w:hAnsi="宋体" w:cs="宋体" w:hint="eastAsia"/>
                <w:b/>
                <w:bCs/>
                <w:szCs w:val="21"/>
                <w:lang w:bidi="ar"/>
              </w:rPr>
            </w:pPr>
            <w:r>
              <w:rPr>
                <w:rFonts w:ascii="宋体" w:hAnsi="宋体" w:cs="宋体" w:hint="eastAsia"/>
                <w:b/>
                <w:bCs/>
                <w:szCs w:val="21"/>
                <w:lang w:bidi="ar"/>
              </w:rPr>
              <w:t>问题：</w:t>
            </w:r>
            <w:r>
              <w:rPr>
                <w:rFonts w:ascii="宋体" w:hAnsi="宋体" w:cs="宋体" w:hint="eastAsia"/>
                <w:szCs w:val="21"/>
                <w:lang w:bidi="ar"/>
              </w:rPr>
              <w:t>公司对2025年全年以及更长远的业绩有何展望？下一步发展的战略重点是什么？</w:t>
            </w:r>
          </w:p>
          <w:p w14:paraId="4E58D904" w14:textId="77777777" w:rsidR="00711656" w:rsidRDefault="00000000">
            <w:pPr>
              <w:spacing w:line="276" w:lineRule="auto"/>
              <w:rPr>
                <w:rFonts w:ascii="宋体" w:hAnsi="宋体" w:cs="宋体" w:hint="eastAsia"/>
                <w:szCs w:val="21"/>
                <w:lang w:bidi="ar"/>
              </w:rPr>
            </w:pPr>
            <w:r>
              <w:rPr>
                <w:rFonts w:ascii="宋体" w:hAnsi="宋体" w:cs="宋体" w:hint="eastAsia"/>
                <w:b/>
                <w:bCs/>
                <w:szCs w:val="21"/>
                <w:lang w:bidi="ar"/>
              </w:rPr>
              <w:t>回答：</w:t>
            </w:r>
            <w:r>
              <w:rPr>
                <w:rFonts w:ascii="宋体" w:hAnsi="宋体" w:cs="宋体" w:hint="eastAsia"/>
                <w:szCs w:val="21"/>
                <w:lang w:bidi="ar"/>
              </w:rPr>
              <w:t>尊敬的投资者，您好！公司将继续深化全场景布局，构建产品与技术护城河。巩固家储优势：持续优化家储产品性能与成本结构，依托欧洲市场积累的品牌口碑，进一步提升在全球家储市场的份额；发力高增长场景：工商业储能方面，聚焦国内“独立储能”市场化机遇与海外市场多元化需求升级机遇，深度挖掘可再生能源配储、峰谷电价套利、电网需求响应、极端气候能源安全保障等核心场景价值，推出适配不同场景的标准化与定制化解决方案，快速扩大市场覆盖。轻型动力方面：深耕两三轮车换电生态，拓展To B端企业客户，打造新的业务增长极。技术研发赋能：保持产品技术与行业趋势同步迭代，提升核心竞争力。</w:t>
            </w:r>
          </w:p>
          <w:p w14:paraId="26DF8C1A" w14:textId="77777777" w:rsidR="00711656" w:rsidRDefault="00000000">
            <w:pPr>
              <w:spacing w:line="276" w:lineRule="auto"/>
              <w:rPr>
                <w:rFonts w:ascii="宋体" w:hAnsi="宋体" w:cs="宋体" w:hint="eastAsia"/>
                <w:szCs w:val="21"/>
                <w:lang w:bidi="ar"/>
              </w:rPr>
            </w:pPr>
            <w:r>
              <w:rPr>
                <w:rFonts w:ascii="宋体" w:hAnsi="宋体" w:cs="宋体" w:hint="eastAsia"/>
                <w:szCs w:val="21"/>
                <w:lang w:bidi="ar"/>
              </w:rPr>
              <w:t>同时，优化全球市场布局，实现“内外兼顾”深度落地。海外市场：在巩固欧洲核心市场的基础上，分区域制定差异化拓展策略。同时，加强</w:t>
            </w:r>
            <w:r>
              <w:rPr>
                <w:rFonts w:ascii="宋体" w:hAnsi="宋体" w:cs="宋体" w:hint="eastAsia"/>
                <w:szCs w:val="21"/>
                <w:lang w:bidi="ar"/>
              </w:rPr>
              <w:lastRenderedPageBreak/>
              <w:t>海外本地化运营能力，搭建区域服务中心与供应链体系，提升客户响应效率。国内市场：将工商业储能、轻型动力作为战略重点，依托国内供应链优势，针对不同行业客户的用电需求，提供“储能+节能”一体化解决方案；同时探索与光伏企业、电网公司的合作模式，拓展与两三轮车企、换电运营商的场景化合作，加速钠电在储能与轻型动力场景的规模化应用，多维度打开国内市场局面，形成工商业储能为基石、新兴业务为增长极的国内市场布局。感谢您的关注！</w:t>
            </w:r>
          </w:p>
          <w:p w14:paraId="690E7A04" w14:textId="77777777" w:rsidR="00711656" w:rsidRDefault="00711656">
            <w:pPr>
              <w:spacing w:line="276" w:lineRule="auto"/>
              <w:rPr>
                <w:rFonts w:ascii="宋体" w:hAnsi="宋体" w:cs="宋体" w:hint="eastAsia"/>
                <w:b/>
                <w:bCs/>
                <w:szCs w:val="21"/>
                <w:lang w:bidi="ar"/>
              </w:rPr>
            </w:pPr>
          </w:p>
          <w:p w14:paraId="6B6BCA9C" w14:textId="77777777" w:rsidR="00711656" w:rsidRDefault="00000000">
            <w:pPr>
              <w:spacing w:line="276" w:lineRule="auto"/>
              <w:rPr>
                <w:rFonts w:ascii="宋体" w:hAnsi="宋体" w:cs="宋体" w:hint="eastAsia"/>
                <w:b/>
                <w:bCs/>
                <w:szCs w:val="21"/>
                <w:lang w:bidi="ar"/>
              </w:rPr>
            </w:pPr>
            <w:r>
              <w:rPr>
                <w:rFonts w:ascii="宋体" w:hAnsi="宋体" w:cs="宋体" w:hint="eastAsia"/>
                <w:b/>
                <w:bCs/>
                <w:szCs w:val="21"/>
                <w:lang w:bidi="ar"/>
              </w:rPr>
              <w:t>问题：</w:t>
            </w:r>
            <w:r>
              <w:rPr>
                <w:rFonts w:ascii="宋体" w:hAnsi="宋体" w:cs="宋体" w:hint="eastAsia"/>
                <w:szCs w:val="21"/>
                <w:lang w:bidi="ar"/>
              </w:rPr>
              <w:t>您好，能否请您介绍一下本期行业整体和行业内其他主要企业的业绩表现？谢谢。</w:t>
            </w:r>
          </w:p>
          <w:p w14:paraId="06CCA3C5" w14:textId="77777777" w:rsidR="00711656" w:rsidRDefault="00000000">
            <w:pPr>
              <w:spacing w:line="276" w:lineRule="auto"/>
              <w:rPr>
                <w:rFonts w:ascii="宋体" w:hAnsi="宋体" w:cs="宋体" w:hint="eastAsia"/>
                <w:szCs w:val="21"/>
                <w:lang w:bidi="ar"/>
              </w:rPr>
            </w:pPr>
            <w:r>
              <w:rPr>
                <w:rFonts w:ascii="宋体" w:hAnsi="宋体" w:cs="宋体" w:hint="eastAsia"/>
                <w:b/>
                <w:bCs/>
                <w:szCs w:val="21"/>
                <w:lang w:bidi="ar"/>
              </w:rPr>
              <w:t>回答：</w:t>
            </w:r>
            <w:r>
              <w:rPr>
                <w:rFonts w:ascii="宋体" w:hAnsi="宋体" w:cs="宋体" w:hint="eastAsia"/>
                <w:szCs w:val="21"/>
                <w:lang w:bidi="ar"/>
              </w:rPr>
              <w:t>尊敬的投资者，您好！2025年前三季度，公司实现营业收入201,256.16万元，同比增长42.52%；实现归属于上市公司股东的净利润4,785.15万元，同比增长28.05%；其中第三季度公司实现营业收入86,321.98万元，同比增长56.13%；实现归属于上市公司股东的净利润3,393.97万元，同比增长94.01%。</w:t>
            </w:r>
          </w:p>
          <w:p w14:paraId="2148B6BD" w14:textId="77777777" w:rsidR="00711656" w:rsidRDefault="00000000">
            <w:pPr>
              <w:spacing w:line="276" w:lineRule="auto"/>
              <w:rPr>
                <w:rFonts w:ascii="宋体" w:hAnsi="宋体" w:cs="宋体" w:hint="eastAsia"/>
                <w:szCs w:val="21"/>
                <w:lang w:bidi="ar"/>
              </w:rPr>
            </w:pPr>
            <w:r>
              <w:rPr>
                <w:rFonts w:ascii="宋体" w:hAnsi="宋体" w:cs="宋体" w:hint="eastAsia"/>
                <w:szCs w:val="21"/>
                <w:lang w:bidi="ar"/>
              </w:rPr>
              <w:t>2025年前三季度，公司实现销售2,405MWh，同比增长142.44%；其中第三季度实现销售1,078MWh，同比增长156.06%。前三季度公司销量增长主要系：国际家储传统市场持续复苏，新兴市场的业务持续开拓；国内外工商业储能业务得到突破性增长；钠电和共享换电电池等业务增长，其中钠电实现销售超过100MWh，共享换电电池实现销售超过400MWh。其他内容请详见公司在指定媒体及网站披露的《2025年第三季度报告》。感谢您的关注！</w:t>
            </w:r>
          </w:p>
          <w:p w14:paraId="7D973212" w14:textId="77777777" w:rsidR="00711656" w:rsidRDefault="00711656">
            <w:pPr>
              <w:spacing w:line="276" w:lineRule="auto"/>
              <w:rPr>
                <w:rFonts w:ascii="宋体" w:hAnsi="宋体" w:cs="宋体" w:hint="eastAsia"/>
                <w:b/>
                <w:bCs/>
                <w:szCs w:val="21"/>
                <w:lang w:bidi="ar"/>
              </w:rPr>
            </w:pPr>
          </w:p>
          <w:p w14:paraId="7F4E6A58" w14:textId="77777777" w:rsidR="00711656" w:rsidRDefault="00000000">
            <w:pPr>
              <w:spacing w:line="276" w:lineRule="auto"/>
              <w:rPr>
                <w:rFonts w:ascii="宋体" w:hAnsi="宋体" w:cs="宋体" w:hint="eastAsia"/>
                <w:szCs w:val="21"/>
                <w:lang w:bidi="ar"/>
              </w:rPr>
            </w:pPr>
            <w:r>
              <w:rPr>
                <w:rFonts w:ascii="宋体" w:hAnsi="宋体" w:cs="宋体" w:hint="eastAsia"/>
                <w:b/>
                <w:bCs/>
                <w:szCs w:val="21"/>
                <w:lang w:bidi="ar"/>
              </w:rPr>
              <w:t>问题：</w:t>
            </w:r>
            <w:r>
              <w:rPr>
                <w:rFonts w:ascii="宋体" w:hAnsi="宋体" w:cs="宋体" w:hint="eastAsia"/>
                <w:szCs w:val="21"/>
                <w:lang w:bidi="ar"/>
              </w:rPr>
              <w:t>目前公司发展的不利因素有哪些？公司发展的有利因素有哪些？</w:t>
            </w:r>
          </w:p>
          <w:p w14:paraId="45B251EC" w14:textId="77777777" w:rsidR="00711656" w:rsidRDefault="00000000">
            <w:pPr>
              <w:spacing w:line="276" w:lineRule="auto"/>
              <w:rPr>
                <w:rFonts w:ascii="宋体" w:hAnsi="宋体" w:cs="宋体" w:hint="eastAsia"/>
                <w:szCs w:val="21"/>
                <w:lang w:bidi="ar"/>
              </w:rPr>
            </w:pPr>
            <w:r>
              <w:rPr>
                <w:rFonts w:ascii="宋体" w:hAnsi="宋体" w:cs="宋体" w:hint="eastAsia"/>
                <w:b/>
                <w:bCs/>
                <w:szCs w:val="21"/>
                <w:lang w:bidi="ar"/>
              </w:rPr>
              <w:t>回答：</w:t>
            </w:r>
            <w:r>
              <w:rPr>
                <w:rFonts w:ascii="宋体" w:hAnsi="宋体" w:cs="宋体" w:hint="eastAsia"/>
                <w:szCs w:val="21"/>
                <w:lang w:bidi="ar"/>
              </w:rPr>
              <w:t>尊敬的投资者，您好！公司是行业领先的储能系统提供商，通过长期自主研发掌握磷酸铁锂电芯、模组、电池管理系统、储能系统集成等全产业链核心技术。公司产品综合性能优异，具有循环寿命长、安全可靠性高等技术优势，贴合电化学储能应用场景的核心需求。此外，公司产品具有模块化设计和灵活配置的技术优势，能够支持为各类复杂应用场景打造一站式储能解决方案，满足各种储能应用场景的使用需求。</w:t>
            </w:r>
          </w:p>
          <w:p w14:paraId="713FFCD4" w14:textId="77777777" w:rsidR="00711656" w:rsidRDefault="00000000">
            <w:pPr>
              <w:spacing w:line="276" w:lineRule="auto"/>
              <w:rPr>
                <w:rFonts w:ascii="宋体" w:hAnsi="宋体" w:cs="宋体" w:hint="eastAsia"/>
                <w:szCs w:val="21"/>
                <w:lang w:bidi="ar"/>
              </w:rPr>
            </w:pPr>
            <w:r>
              <w:rPr>
                <w:rFonts w:ascii="宋体" w:hAnsi="宋体" w:cs="宋体" w:hint="eastAsia"/>
                <w:szCs w:val="21"/>
                <w:lang w:bidi="ar"/>
              </w:rPr>
              <w:t>尽管全球宏观经济与地缘政治带来的不确定性、行业竞争白热化对盈利能力的挑战，以及原材料价格与外汇市场的波动风险都对公司发展提出了更高的要求。但是，全球能源转型趋势明确，公司依托垂直产业链，不断强化技术领先优势与产品竞争力；完善的海外认证与品牌渠道助力公司深度参与全球储能市场；同时，公司通过优化运营效能、强化成本控制、积极践行ESG理念，为可持续高质量发展奠定了坚实基础。</w:t>
            </w:r>
            <w:r>
              <w:rPr>
                <w:rFonts w:ascii="宋体" w:hAnsi="宋体" w:cs="宋体" w:hint="eastAsia"/>
                <w:szCs w:val="21"/>
                <w:lang w:bidi="ar"/>
              </w:rPr>
              <w:lastRenderedPageBreak/>
              <w:t>感谢您的关注！</w:t>
            </w:r>
          </w:p>
        </w:tc>
      </w:tr>
      <w:tr w:rsidR="00711656" w14:paraId="3A25577E" w14:textId="77777777">
        <w:trPr>
          <w:trHeight w:val="732"/>
        </w:trPr>
        <w:tc>
          <w:tcPr>
            <w:tcW w:w="1728" w:type="dxa"/>
            <w:tcBorders>
              <w:top w:val="single" w:sz="4" w:space="0" w:color="auto"/>
              <w:left w:val="single" w:sz="4" w:space="0" w:color="auto"/>
              <w:bottom w:val="single" w:sz="4" w:space="0" w:color="auto"/>
              <w:right w:val="single" w:sz="4" w:space="0" w:color="auto"/>
            </w:tcBorders>
            <w:vAlign w:val="center"/>
          </w:tcPr>
          <w:p w14:paraId="4C050CDF" w14:textId="77777777" w:rsidR="00711656" w:rsidRDefault="00000000">
            <w:pPr>
              <w:spacing w:line="276" w:lineRule="auto"/>
              <w:jc w:val="center"/>
              <w:rPr>
                <w:rFonts w:ascii="宋体" w:hAnsi="宋体" w:cs="宋体" w:hint="eastAsia"/>
                <w:b/>
                <w:bCs/>
                <w:iCs/>
                <w:color w:val="000000" w:themeColor="text1"/>
                <w:szCs w:val="21"/>
              </w:rPr>
            </w:pPr>
            <w:r>
              <w:rPr>
                <w:rFonts w:ascii="宋体" w:hAnsi="宋体" w:cs="宋体" w:hint="eastAsia"/>
                <w:b/>
                <w:bCs/>
                <w:iCs/>
                <w:color w:val="000000" w:themeColor="text1"/>
                <w:szCs w:val="21"/>
              </w:rPr>
              <w:lastRenderedPageBreak/>
              <w:t>关于本次活动是否涉及应当披露重大信息的说明</w:t>
            </w:r>
          </w:p>
        </w:tc>
        <w:tc>
          <w:tcPr>
            <w:tcW w:w="6588" w:type="dxa"/>
            <w:tcBorders>
              <w:top w:val="single" w:sz="4" w:space="0" w:color="auto"/>
              <w:left w:val="single" w:sz="4" w:space="0" w:color="auto"/>
              <w:bottom w:val="single" w:sz="4" w:space="0" w:color="auto"/>
              <w:right w:val="single" w:sz="4" w:space="0" w:color="auto"/>
            </w:tcBorders>
            <w:vAlign w:val="center"/>
          </w:tcPr>
          <w:p w14:paraId="78CBB680" w14:textId="77777777" w:rsidR="00711656" w:rsidRDefault="00000000">
            <w:pPr>
              <w:spacing w:line="360" w:lineRule="auto"/>
              <w:rPr>
                <w:rFonts w:ascii="宋体" w:hAnsi="宋体" w:cs="宋体" w:hint="eastAsia"/>
                <w:color w:val="000000" w:themeColor="text1"/>
                <w:szCs w:val="21"/>
              </w:rPr>
            </w:pPr>
            <w:r>
              <w:rPr>
                <w:rFonts w:ascii="宋体" w:hAnsi="宋体" w:cs="宋体" w:hint="eastAsia"/>
                <w:color w:val="000000" w:themeColor="text1"/>
                <w:szCs w:val="21"/>
              </w:rPr>
              <w:t>本次活动不涉及应当披露的重大信息。</w:t>
            </w:r>
          </w:p>
        </w:tc>
      </w:tr>
      <w:tr w:rsidR="00711656" w14:paraId="28E9CEFE" w14:textId="77777777">
        <w:trPr>
          <w:trHeight w:val="732"/>
        </w:trPr>
        <w:tc>
          <w:tcPr>
            <w:tcW w:w="1728" w:type="dxa"/>
            <w:tcBorders>
              <w:top w:val="single" w:sz="4" w:space="0" w:color="auto"/>
              <w:left w:val="single" w:sz="4" w:space="0" w:color="auto"/>
              <w:bottom w:val="single" w:sz="4" w:space="0" w:color="auto"/>
              <w:right w:val="single" w:sz="4" w:space="0" w:color="auto"/>
            </w:tcBorders>
            <w:vAlign w:val="center"/>
          </w:tcPr>
          <w:p w14:paraId="459A5484" w14:textId="77777777" w:rsidR="00711656" w:rsidRDefault="00000000">
            <w:pPr>
              <w:spacing w:line="276" w:lineRule="auto"/>
              <w:jc w:val="center"/>
              <w:rPr>
                <w:rFonts w:ascii="宋体" w:hAnsi="宋体" w:cs="宋体" w:hint="eastAsia"/>
                <w:b/>
                <w:bCs/>
                <w:iCs/>
                <w:color w:val="000000" w:themeColor="text1"/>
                <w:szCs w:val="21"/>
              </w:rPr>
            </w:pPr>
            <w:r>
              <w:rPr>
                <w:rFonts w:ascii="宋体" w:hAnsi="宋体" w:cs="宋体" w:hint="eastAsia"/>
                <w:b/>
                <w:bCs/>
                <w:iCs/>
                <w:color w:val="000000" w:themeColor="text1"/>
                <w:szCs w:val="21"/>
              </w:rPr>
              <w:t>附件清单</w:t>
            </w:r>
          </w:p>
          <w:p w14:paraId="4CA91A54" w14:textId="77777777" w:rsidR="00711656" w:rsidRDefault="00000000">
            <w:pPr>
              <w:spacing w:line="276" w:lineRule="auto"/>
              <w:jc w:val="center"/>
              <w:rPr>
                <w:rFonts w:ascii="宋体" w:hAnsi="宋体" w:cs="宋体" w:hint="eastAsia"/>
                <w:b/>
                <w:bCs/>
                <w:iCs/>
                <w:color w:val="000000" w:themeColor="text1"/>
                <w:szCs w:val="21"/>
              </w:rPr>
            </w:pPr>
            <w:r>
              <w:rPr>
                <w:rFonts w:ascii="宋体" w:hAnsi="宋体" w:cs="宋体" w:hint="eastAsia"/>
                <w:b/>
                <w:bCs/>
                <w:iCs/>
                <w:color w:val="000000" w:themeColor="text1"/>
                <w:szCs w:val="21"/>
              </w:rPr>
              <w:t>（如有）</w:t>
            </w:r>
          </w:p>
        </w:tc>
        <w:tc>
          <w:tcPr>
            <w:tcW w:w="6588" w:type="dxa"/>
            <w:tcBorders>
              <w:top w:val="single" w:sz="4" w:space="0" w:color="auto"/>
              <w:left w:val="single" w:sz="4" w:space="0" w:color="auto"/>
              <w:bottom w:val="single" w:sz="4" w:space="0" w:color="auto"/>
              <w:right w:val="single" w:sz="4" w:space="0" w:color="auto"/>
            </w:tcBorders>
            <w:vAlign w:val="center"/>
          </w:tcPr>
          <w:p w14:paraId="0E63E235" w14:textId="77777777" w:rsidR="00711656" w:rsidRDefault="00711656">
            <w:pPr>
              <w:spacing w:line="360" w:lineRule="auto"/>
              <w:rPr>
                <w:rFonts w:ascii="宋体" w:hAnsi="宋体" w:cs="宋体" w:hint="eastAsia"/>
                <w:color w:val="000000" w:themeColor="text1"/>
                <w:szCs w:val="21"/>
              </w:rPr>
            </w:pPr>
          </w:p>
        </w:tc>
      </w:tr>
      <w:tr w:rsidR="00711656" w14:paraId="03910942" w14:textId="77777777">
        <w:tc>
          <w:tcPr>
            <w:tcW w:w="1728" w:type="dxa"/>
            <w:tcBorders>
              <w:top w:val="single" w:sz="4" w:space="0" w:color="auto"/>
              <w:left w:val="single" w:sz="4" w:space="0" w:color="auto"/>
              <w:bottom w:val="single" w:sz="4" w:space="0" w:color="auto"/>
              <w:right w:val="single" w:sz="4" w:space="0" w:color="auto"/>
            </w:tcBorders>
            <w:vAlign w:val="center"/>
          </w:tcPr>
          <w:p w14:paraId="2CB6A18B" w14:textId="77777777" w:rsidR="00711656" w:rsidRDefault="00000000">
            <w:pPr>
              <w:spacing w:line="360" w:lineRule="auto"/>
              <w:jc w:val="center"/>
              <w:rPr>
                <w:rFonts w:ascii="宋体" w:hAnsi="宋体" w:cs="宋体" w:hint="eastAsia"/>
                <w:b/>
                <w:bCs/>
                <w:iCs/>
                <w:color w:val="000000" w:themeColor="text1"/>
                <w:szCs w:val="21"/>
              </w:rPr>
            </w:pPr>
            <w:r>
              <w:rPr>
                <w:rFonts w:ascii="宋体" w:hAnsi="宋体" w:cs="宋体" w:hint="eastAsia"/>
                <w:b/>
                <w:bCs/>
                <w:iCs/>
                <w:color w:val="000000" w:themeColor="text1"/>
                <w:szCs w:val="21"/>
              </w:rPr>
              <w:t>日期</w:t>
            </w:r>
          </w:p>
        </w:tc>
        <w:tc>
          <w:tcPr>
            <w:tcW w:w="6588" w:type="dxa"/>
            <w:tcBorders>
              <w:top w:val="single" w:sz="4" w:space="0" w:color="auto"/>
              <w:left w:val="single" w:sz="4" w:space="0" w:color="auto"/>
              <w:bottom w:val="single" w:sz="4" w:space="0" w:color="auto"/>
              <w:right w:val="single" w:sz="4" w:space="0" w:color="auto"/>
            </w:tcBorders>
            <w:vAlign w:val="center"/>
          </w:tcPr>
          <w:p w14:paraId="75601EF8" w14:textId="77777777" w:rsidR="00711656" w:rsidRDefault="00000000">
            <w:pPr>
              <w:spacing w:line="360" w:lineRule="auto"/>
              <w:rPr>
                <w:rFonts w:ascii="宋体" w:hAnsi="宋体" w:cs="宋体" w:hint="eastAsia"/>
                <w:bCs/>
                <w:iCs/>
                <w:color w:val="000000" w:themeColor="text1"/>
                <w:szCs w:val="21"/>
              </w:rPr>
            </w:pPr>
            <w:r>
              <w:rPr>
                <w:rFonts w:ascii="宋体" w:hAnsi="宋体" w:cs="宋体" w:hint="eastAsia"/>
                <w:bCs/>
                <w:iCs/>
                <w:color w:val="000000" w:themeColor="text1"/>
                <w:szCs w:val="21"/>
              </w:rPr>
              <w:t>2025年11月13日</w:t>
            </w:r>
          </w:p>
        </w:tc>
      </w:tr>
    </w:tbl>
    <w:p w14:paraId="6E1CD183" w14:textId="77777777" w:rsidR="00711656" w:rsidRDefault="00711656">
      <w:pPr>
        <w:ind w:firstLine="420"/>
        <w:rPr>
          <w:rFonts w:ascii="宋体" w:hAnsi="宋体" w:hint="eastAsia"/>
          <w:color w:val="000000" w:themeColor="text1"/>
        </w:rPr>
      </w:pPr>
    </w:p>
    <w:p w14:paraId="629E72B1" w14:textId="77777777" w:rsidR="00711656" w:rsidRDefault="00711656"/>
    <w:sectPr w:rsidR="00711656">
      <w:footerReference w:type="default" r:id="rId6"/>
      <w:pgSz w:w="11906" w:h="16838"/>
      <w:pgMar w:top="1440" w:right="1800" w:bottom="1440" w:left="1800" w:header="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F79ED" w14:textId="77777777" w:rsidR="00EF77C4" w:rsidRDefault="00EF77C4">
      <w:r>
        <w:separator/>
      </w:r>
    </w:p>
  </w:endnote>
  <w:endnote w:type="continuationSeparator" w:id="0">
    <w:p w14:paraId="0A2116B1" w14:textId="77777777" w:rsidR="00EF77C4" w:rsidRDefault="00EF7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1489976"/>
    </w:sdtPr>
    <w:sdtContent>
      <w:sdt>
        <w:sdtPr>
          <w:id w:val="1728636285"/>
        </w:sdtPr>
        <w:sdtContent>
          <w:p w14:paraId="35F4E261" w14:textId="77777777" w:rsidR="00711656" w:rsidRDefault="0000000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6A57A" w14:textId="77777777" w:rsidR="00EF77C4" w:rsidRDefault="00EF77C4">
      <w:r>
        <w:separator/>
      </w:r>
    </w:p>
  </w:footnote>
  <w:footnote w:type="continuationSeparator" w:id="0">
    <w:p w14:paraId="01452638" w14:textId="77777777" w:rsidR="00EF77C4" w:rsidRDefault="00EF77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8A7"/>
    <w:rsid w:val="000568A7"/>
    <w:rsid w:val="000A3E54"/>
    <w:rsid w:val="000C49EE"/>
    <w:rsid w:val="00137980"/>
    <w:rsid w:val="001528ED"/>
    <w:rsid w:val="00164B01"/>
    <w:rsid w:val="001B4173"/>
    <w:rsid w:val="001B66C7"/>
    <w:rsid w:val="001D1CAD"/>
    <w:rsid w:val="001D4B0F"/>
    <w:rsid w:val="00213E26"/>
    <w:rsid w:val="00226F52"/>
    <w:rsid w:val="0022726F"/>
    <w:rsid w:val="00227ED0"/>
    <w:rsid w:val="0027275A"/>
    <w:rsid w:val="002C5E9D"/>
    <w:rsid w:val="00343894"/>
    <w:rsid w:val="00390757"/>
    <w:rsid w:val="00397543"/>
    <w:rsid w:val="003A1E29"/>
    <w:rsid w:val="003A392C"/>
    <w:rsid w:val="00402186"/>
    <w:rsid w:val="0040324C"/>
    <w:rsid w:val="00412BC1"/>
    <w:rsid w:val="004136BF"/>
    <w:rsid w:val="00443F62"/>
    <w:rsid w:val="004B6072"/>
    <w:rsid w:val="004D76B6"/>
    <w:rsid w:val="004E4756"/>
    <w:rsid w:val="005504E7"/>
    <w:rsid w:val="00551D0B"/>
    <w:rsid w:val="005F4DD6"/>
    <w:rsid w:val="006C5597"/>
    <w:rsid w:val="006D6F3B"/>
    <w:rsid w:val="00711656"/>
    <w:rsid w:val="007210AF"/>
    <w:rsid w:val="00850086"/>
    <w:rsid w:val="00882D86"/>
    <w:rsid w:val="008A3F81"/>
    <w:rsid w:val="008B1A33"/>
    <w:rsid w:val="008C15C8"/>
    <w:rsid w:val="008C6FD8"/>
    <w:rsid w:val="00923DDD"/>
    <w:rsid w:val="009375D1"/>
    <w:rsid w:val="0094240A"/>
    <w:rsid w:val="00955D10"/>
    <w:rsid w:val="00971C57"/>
    <w:rsid w:val="009A1553"/>
    <w:rsid w:val="00A073C6"/>
    <w:rsid w:val="00A65261"/>
    <w:rsid w:val="00A67168"/>
    <w:rsid w:val="00A778DE"/>
    <w:rsid w:val="00A86480"/>
    <w:rsid w:val="00A978D7"/>
    <w:rsid w:val="00AA7F76"/>
    <w:rsid w:val="00AC10EB"/>
    <w:rsid w:val="00AF03F1"/>
    <w:rsid w:val="00B219DF"/>
    <w:rsid w:val="00B370F3"/>
    <w:rsid w:val="00BB0B6E"/>
    <w:rsid w:val="00BD44C2"/>
    <w:rsid w:val="00BE79BC"/>
    <w:rsid w:val="00C10E01"/>
    <w:rsid w:val="00C34C77"/>
    <w:rsid w:val="00D27A93"/>
    <w:rsid w:val="00D32DFC"/>
    <w:rsid w:val="00DE07FC"/>
    <w:rsid w:val="00E0120E"/>
    <w:rsid w:val="00EC506B"/>
    <w:rsid w:val="00EE29C8"/>
    <w:rsid w:val="00EF77C4"/>
    <w:rsid w:val="00F370DB"/>
    <w:rsid w:val="00F72275"/>
    <w:rsid w:val="00FC3361"/>
    <w:rsid w:val="07126147"/>
    <w:rsid w:val="12086AC4"/>
    <w:rsid w:val="17C4348D"/>
    <w:rsid w:val="201C5054"/>
    <w:rsid w:val="3D475E43"/>
    <w:rsid w:val="3EC7548D"/>
    <w:rsid w:val="53E915AA"/>
    <w:rsid w:val="56592316"/>
    <w:rsid w:val="5B1F079D"/>
    <w:rsid w:val="64925346"/>
    <w:rsid w:val="6CF02B83"/>
    <w:rsid w:val="6E7521DB"/>
    <w:rsid w:val="755F74C6"/>
    <w:rsid w:val="78533453"/>
    <w:rsid w:val="7DD722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E0467B"/>
  <w15:docId w15:val="{EAA9178F-679A-4A78-87BB-1753F8CA8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14:ligatures w14:val="standardContextual"/>
    </w:rPr>
  </w:style>
  <w:style w:type="paragraph" w:styleId="6">
    <w:name w:val="heading 6"/>
    <w:basedOn w:val="a"/>
    <w:next w:val="a"/>
    <w:link w:val="60"/>
    <w:uiPriority w:val="9"/>
    <w:semiHidden/>
    <w:unhideWhenUsed/>
    <w:qFormat/>
    <w:pPr>
      <w:keepNext/>
      <w:keepLines/>
      <w:spacing w:before="40" w:line="278" w:lineRule="auto"/>
      <w:jc w:val="left"/>
      <w:outlineLvl w:val="5"/>
    </w:pPr>
    <w:rPr>
      <w:rFonts w:asciiTheme="minorHAnsi" w:eastAsiaTheme="minorEastAsia" w:hAnsiTheme="minorHAnsi" w:cstheme="majorBidi"/>
      <w:b/>
      <w:bCs/>
      <w:color w:val="2F5496" w:themeColor="accent1" w:themeShade="BF"/>
      <w:sz w:val="22"/>
      <w14:ligatures w14:val="standardContextual"/>
    </w:rPr>
  </w:style>
  <w:style w:type="paragraph" w:styleId="7">
    <w:name w:val="heading 7"/>
    <w:basedOn w:val="a"/>
    <w:next w:val="a"/>
    <w:link w:val="70"/>
    <w:uiPriority w:val="9"/>
    <w:semiHidden/>
    <w:unhideWhenUsed/>
    <w:qFormat/>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tabs>
        <w:tab w:val="center" w:pos="4153"/>
        <w:tab w:val="right" w:pos="8306"/>
      </w:tabs>
      <w:snapToGrid w:val="0"/>
      <w:jc w:val="center"/>
    </w:pPr>
    <w:rPr>
      <w:sz w:val="18"/>
      <w:szCs w:val="18"/>
    </w:rPr>
  </w:style>
  <w:style w:type="paragraph" w:styleId="a9">
    <w:name w:val="Subtitle"/>
    <w:basedOn w:val="a"/>
    <w:next w:val="a"/>
    <w:link w:val="aa"/>
    <w:uiPriority w:val="11"/>
    <w:qFormat/>
    <w:p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paragraph" w:styleId="ab">
    <w:name w:val="Title"/>
    <w:basedOn w:val="a"/>
    <w:next w:val="a"/>
    <w:link w:val="ac"/>
    <w:uiPriority w:val="10"/>
    <w:qFormat/>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paragraph" w:styleId="ad">
    <w:name w:val="annotation subject"/>
    <w:basedOn w:val="a3"/>
    <w:next w:val="a3"/>
    <w:link w:val="ae"/>
    <w:uiPriority w:val="99"/>
    <w:semiHidden/>
    <w:unhideWhenUsed/>
    <w:qFormat/>
    <w:rPr>
      <w:b/>
      <w:bCs/>
    </w:rPr>
  </w:style>
  <w:style w:type="character" w:styleId="af">
    <w:name w:val="annotation reference"/>
    <w:basedOn w:val="a0"/>
    <w:uiPriority w:val="99"/>
    <w:semiHidden/>
    <w:unhideWhenUsed/>
    <w:qFormat/>
    <w:rPr>
      <w:sz w:val="21"/>
      <w:szCs w:val="21"/>
    </w:rPr>
  </w:style>
  <w:style w:type="character" w:customStyle="1" w:styleId="10">
    <w:name w:val="标题 1 字符"/>
    <w:basedOn w:val="a0"/>
    <w:link w:val="1"/>
    <w:uiPriority w:val="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qFormat/>
    <w:rPr>
      <w:rFonts w:cstheme="majorBidi"/>
      <w:color w:val="2F5496" w:themeColor="accent1" w:themeShade="BF"/>
      <w:sz w:val="28"/>
      <w:szCs w:val="28"/>
    </w:rPr>
  </w:style>
  <w:style w:type="character" w:customStyle="1" w:styleId="50">
    <w:name w:val="标题 5 字符"/>
    <w:basedOn w:val="a0"/>
    <w:link w:val="5"/>
    <w:uiPriority w:val="9"/>
    <w:semiHidden/>
    <w:qFormat/>
    <w:rPr>
      <w:rFonts w:cstheme="majorBidi"/>
      <w:color w:val="2F5496" w:themeColor="accent1" w:themeShade="BF"/>
      <w:sz w:val="24"/>
    </w:rPr>
  </w:style>
  <w:style w:type="character" w:customStyle="1" w:styleId="60">
    <w:name w:val="标题 6 字符"/>
    <w:basedOn w:val="a0"/>
    <w:link w:val="6"/>
    <w:uiPriority w:val="9"/>
    <w:semiHidden/>
    <w:qFormat/>
    <w:rPr>
      <w:rFonts w:cstheme="majorBidi"/>
      <w:b/>
      <w:bCs/>
      <w:color w:val="2F5496"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c">
    <w:name w:val="标题 字符"/>
    <w:basedOn w:val="a0"/>
    <w:link w:val="ab"/>
    <w:uiPriority w:val="10"/>
    <w:qFormat/>
    <w:rPr>
      <w:rFonts w:asciiTheme="majorHAnsi" w:eastAsiaTheme="majorEastAsia" w:hAnsiTheme="majorHAnsi" w:cstheme="majorBidi"/>
      <w:spacing w:val="-10"/>
      <w:kern w:val="28"/>
      <w:sz w:val="56"/>
      <w:szCs w:val="56"/>
    </w:rPr>
  </w:style>
  <w:style w:type="character" w:customStyle="1" w:styleId="aa">
    <w:name w:val="副标题 字符"/>
    <w:basedOn w:val="a0"/>
    <w:link w:val="a9"/>
    <w:uiPriority w:val="11"/>
    <w:qFormat/>
    <w:rPr>
      <w:rFonts w:asciiTheme="majorHAnsi" w:eastAsiaTheme="majorEastAsia" w:hAnsiTheme="majorHAnsi" w:cstheme="majorBidi"/>
      <w:color w:val="595959" w:themeColor="text1" w:themeTint="A6"/>
      <w:spacing w:val="15"/>
      <w:sz w:val="28"/>
      <w:szCs w:val="28"/>
    </w:rPr>
  </w:style>
  <w:style w:type="paragraph" w:styleId="af0">
    <w:name w:val="Quote"/>
    <w:basedOn w:val="a"/>
    <w:next w:val="a"/>
    <w:link w:val="af1"/>
    <w:uiPriority w:val="29"/>
    <w:qFormat/>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f1">
    <w:name w:val="引用 字符"/>
    <w:basedOn w:val="a0"/>
    <w:link w:val="af0"/>
    <w:uiPriority w:val="29"/>
    <w:qFormat/>
    <w:rPr>
      <w:i/>
      <w:iCs/>
      <w:color w:val="404040" w:themeColor="text1" w:themeTint="BF"/>
    </w:rPr>
  </w:style>
  <w:style w:type="paragraph" w:styleId="af2">
    <w:name w:val="List Paragraph"/>
    <w:basedOn w:val="a"/>
    <w:uiPriority w:val="34"/>
    <w:qFormat/>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customStyle="1" w:styleId="11">
    <w:name w:val="明显强调1"/>
    <w:basedOn w:val="a0"/>
    <w:uiPriority w:val="21"/>
    <w:qFormat/>
    <w:rPr>
      <w:i/>
      <w:iCs/>
      <w:color w:val="2F5496" w:themeColor="accent1" w:themeShade="BF"/>
    </w:rPr>
  </w:style>
  <w:style w:type="paragraph" w:styleId="af3">
    <w:name w:val="Intense Quote"/>
    <w:basedOn w:val="a"/>
    <w:next w:val="a"/>
    <w:link w:val="af4"/>
    <w:uiPriority w:val="30"/>
    <w:qFormat/>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14:ligatures w14:val="standardContextual"/>
    </w:rPr>
  </w:style>
  <w:style w:type="character" w:customStyle="1" w:styleId="af4">
    <w:name w:val="明显引用 字符"/>
    <w:basedOn w:val="a0"/>
    <w:link w:val="af3"/>
    <w:uiPriority w:val="30"/>
    <w:qFormat/>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customStyle="1" w:styleId="a6">
    <w:name w:val="页脚 字符"/>
    <w:basedOn w:val="a0"/>
    <w:link w:val="a5"/>
    <w:uiPriority w:val="99"/>
    <w:qFormat/>
    <w:rPr>
      <w:rFonts w:ascii="Times New Roman" w:eastAsia="宋体" w:hAnsi="Times New Roman" w:cs="Times New Roman"/>
      <w:sz w:val="18"/>
      <w:szCs w:val="18"/>
      <w14:ligatures w14:val="none"/>
    </w:rPr>
  </w:style>
  <w:style w:type="character" w:customStyle="1" w:styleId="a8">
    <w:name w:val="页眉 字符"/>
    <w:basedOn w:val="a0"/>
    <w:link w:val="a7"/>
    <w:uiPriority w:val="99"/>
    <w:qFormat/>
    <w:rPr>
      <w:rFonts w:ascii="Times New Roman" w:eastAsia="宋体" w:hAnsi="Times New Roman" w:cs="Times New Roman"/>
      <w:sz w:val="18"/>
      <w:szCs w:val="18"/>
      <w14:ligatures w14:val="none"/>
    </w:rPr>
  </w:style>
  <w:style w:type="character" w:customStyle="1" w:styleId="a4">
    <w:name w:val="批注文字 字符"/>
    <w:basedOn w:val="a0"/>
    <w:link w:val="a3"/>
    <w:uiPriority w:val="99"/>
    <w:semiHidden/>
    <w:qFormat/>
    <w:rPr>
      <w:rFonts w:ascii="Times New Roman" w:eastAsia="宋体" w:hAnsi="Times New Roman" w:cs="Times New Roman"/>
      <w:sz w:val="21"/>
      <w14:ligatures w14:val="none"/>
    </w:rPr>
  </w:style>
  <w:style w:type="character" w:customStyle="1" w:styleId="ae">
    <w:name w:val="批注主题 字符"/>
    <w:basedOn w:val="a4"/>
    <w:link w:val="ad"/>
    <w:uiPriority w:val="99"/>
    <w:semiHidden/>
    <w:qFormat/>
    <w:rPr>
      <w:rFonts w:ascii="Times New Roman" w:eastAsia="宋体" w:hAnsi="Times New Roman" w:cs="Times New Roman"/>
      <w:b/>
      <w:bCs/>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Pages>
  <Words>993</Words>
  <Characters>1084</Characters>
  <Application>Microsoft Office Word</Application>
  <DocSecurity>0</DocSecurity>
  <Lines>54</Lines>
  <Paragraphs>40</Paragraphs>
  <ScaleCrop>false</ScaleCrop>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Yingying LIU</dc:creator>
  <cp:lastModifiedBy>Yingying LIU</cp:lastModifiedBy>
  <cp:revision>63</cp:revision>
  <cp:lastPrinted>2025-09-03T09:23:00Z</cp:lastPrinted>
  <dcterms:created xsi:type="dcterms:W3CDTF">2025-08-22T02:27:00Z</dcterms:created>
  <dcterms:modified xsi:type="dcterms:W3CDTF">2025-11-13T08:44:00Z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eyJoZGlkIjoiMDY5NmFjMmM4ZTljMGJiZDAxN2JmYTc0NGI0NmFiNDgiLCJ1c2VySWQiOiIyNzQwNjQ4NjUifQ==</vt:lpwstr>
  </property>
  <property fmtid="{D5CDD505-2E9C-101B-9397-08002B2CF9AE}" pid="3" name="KSOProductBuildVer">
    <vt:lpwstr>2052-12.1.0.23125</vt:lpwstr>
  </property>
  <property fmtid="{D5CDD505-2E9C-101B-9397-08002B2CF9AE}" pid="4" name="ICV">
    <vt:lpwstr>78E8C4A1F94546FAA7F5D0E137DE1018_12</vt:lpwstr>
  </property>
</Properties>
</file>