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94F5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688707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振华新材</w:t>
      </w:r>
    </w:p>
    <w:p w14:paraId="6383528C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贵州振华新材料股份有限公司</w:t>
      </w:r>
    </w:p>
    <w:p w14:paraId="4B1403E3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9969967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7"/>
      </w:tblGrid>
      <w:tr w14:paraId="0BAC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364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E85FE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B166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BD507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C9A77D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551DE6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99A5341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5415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F2C8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9BF50">
            <w:pPr>
              <w:spacing w:line="420" w:lineRule="exac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全体通过文字互动方式参与振华新材2025年第三季度业绩说明会的投资者</w:t>
            </w:r>
          </w:p>
        </w:tc>
      </w:tr>
      <w:tr w14:paraId="44C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0ABB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6932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14日9:00-10:00</w:t>
            </w:r>
          </w:p>
        </w:tc>
      </w:tr>
      <w:tr w14:paraId="27C1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031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167FA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上海证券交易所上证路演中心（网址：</w:t>
            </w:r>
            <w:r>
              <w:rPr>
                <w:rFonts w:hint="default" w:ascii="Times New Roman" w:hAnsi="Times New Roman" w:eastAsia="siyuan" w:cs="Times New Roman"/>
                <w:i w:val="0"/>
                <w:iCs w:val="0"/>
                <w:caps w:val="0"/>
                <w:color w:val="00040D"/>
                <w:spacing w:val="0"/>
                <w:sz w:val="24"/>
                <w:szCs w:val="24"/>
                <w:shd w:val="clear" w:fill="FFFFFF"/>
              </w:rPr>
              <w:t>http://roadshow.sseinfo.com/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）</w:t>
            </w:r>
          </w:p>
        </w:tc>
      </w:tr>
      <w:tr w14:paraId="75F6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AAF3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AF5F"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侯乔坤</w:t>
            </w:r>
            <w:r>
              <w:rPr>
                <w:rFonts w:hint="default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董事长</w:t>
            </w:r>
          </w:p>
          <w:p w14:paraId="64A100DA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向黔新   副董事长、总经理</w:t>
            </w:r>
          </w:p>
          <w:p w14:paraId="175D5E23"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王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敬   副总经理</w:t>
            </w:r>
            <w:r>
              <w:rPr>
                <w:rFonts w:hint="eastAsia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董事会秘书</w:t>
            </w:r>
          </w:p>
          <w:p w14:paraId="4F26A72E">
            <w:pPr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刘  进   总会计师</w:t>
            </w:r>
          </w:p>
          <w:p w14:paraId="43C5DCBE">
            <w:pPr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>范其勇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独立董事</w:t>
            </w:r>
          </w:p>
          <w:p w14:paraId="71AAB749">
            <w:pPr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>梅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cs="Times New Roman"/>
                <w:sz w:val="24"/>
                <w:lang w:val="en-US" w:eastAsia="zh-CN"/>
              </w:rPr>
              <w:t>益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独立董事</w:t>
            </w:r>
          </w:p>
          <w:p w14:paraId="6999D97F">
            <w:pPr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程  琥   独立董事</w:t>
            </w:r>
          </w:p>
        </w:tc>
      </w:tr>
      <w:tr w14:paraId="496C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A82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8C9E7C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A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问题1：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公司在正极材料领域的核心竞争力是什么？</w:t>
            </w:r>
          </w:p>
          <w:p w14:paraId="4DFA0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尊敬的投资者您好，公司核心竞争力主要体现在深厚技术积淀与持续创新能力优势、优质客户资源与战略协同优势、绿色智造与品质保障优势及产业链协同与可持续发展优势。</w:t>
            </w:r>
          </w:p>
          <w:p w14:paraId="6441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、技术及创新能力方面：公司在锂电正极材料领域拥有二十余年的深厚技术积累，已形成中镍、中高镍、高镍及超高镍全系大单晶产品布局，能有效满足新能源汽车不同续航里程的需求。此外，公司前瞻性布局钠离子电池正极材料、固态电解质及其改性三元、富锂锰基等下一代技术领域。</w:t>
            </w:r>
          </w:p>
          <w:p w14:paraId="12AFE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2、客户资源方面：公司已与宁德时代、孚能科技 、新能源科技（ATL）、中汽新能、珠海冠宇、微宏动力、赣锋锂电、湖南立方等主流电池企业建立了长期稳定的战略合作关系。通过成功导入新产品及提供定制化开发服务，公司进一步深化了与核心客户的战略协同效应。</w:t>
            </w:r>
          </w:p>
          <w:p w14:paraId="0EE9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、绿色制造及品质保障方面：公司两大生产基地均为“零碳工厂”，并获评国家级“绿色工厂”。公司深度融合工业智能化技术与生产制造流程，建立了覆盖原材料检验至成品出货全流程的高标准、精细化质量控制体系，有效确保了规模化生产条件下产品的高一致性与高稳定性。</w:t>
            </w:r>
          </w:p>
          <w:p w14:paraId="5497B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4、产业链协同及降本方面：公司通过参股红星电子，积极构建“材料-电池-回收-再生”的全产业链闭环体系。红星电子采用自主开发的无机法除杂工艺技术，实现了钴、 镍、 锰、 锂 4种关键金属元素的高回收率。同时，前驱体合成新工艺可显著降低加工过程成本及碳排放。感谢您的关注！</w:t>
            </w:r>
          </w:p>
          <w:p w14:paraId="1F38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问题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第三季度研发投入大幅增加43.29%，主要投向哪些产品？</w:t>
            </w:r>
          </w:p>
          <w:p w14:paraId="7C11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尊敬的投资者您好，公司研发费用主要投向中高镍低钴、高倍率快充及高镍三元材料、钠离子电池正极材料、固液/固态电池用材料、钴酸锂材料、磷酸锰铁锂、富锂锰基正极材料等领域。具体可参阅公司披露的《2025年半年度报告》中“第三节 管理层讨论与分析之（三）核心技术与研发进展之4、在研项目情况”。感谢您的关注！</w:t>
            </w:r>
          </w:p>
          <w:p w14:paraId="0DF4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问题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公司第三季度营收同比下降27.32%-9，且毛利率为负-2。导致营收持续下滑和毛利率转负的核心原因是什么？</w:t>
            </w:r>
          </w:p>
          <w:p w14:paraId="7D93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尊敬的投资者您好，2025年第三季度主要受三元材料需求疲软、产品结构调整及公司的6系材料尚未形成大批量订单影响，公司较上年同期销量同比有所下滑；加上产能利用率持续低位运行，单位产品的折旧/人工等固定成本及停工损失随之增加，进一步压缩产品毛利率空间。上述因素综合导致2025年第三季度营业收入及毛利率下滑。感谢您的关注！</w:t>
            </w:r>
          </w:p>
        </w:tc>
      </w:tr>
      <w:tr w14:paraId="4C6B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6E62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val="en-US" w:eastAsia="zh-CN"/>
              </w:rPr>
              <w:t>风险提示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19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</w:tbl>
    <w:p w14:paraId="7154158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B7326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mEyMmNhYmVhNGY3YTJjYTNmMzc5MDAzMmViMm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990EAA"/>
    <w:rsid w:val="049C787F"/>
    <w:rsid w:val="07A03795"/>
    <w:rsid w:val="101C61BF"/>
    <w:rsid w:val="13545D39"/>
    <w:rsid w:val="157D489C"/>
    <w:rsid w:val="17A77BC2"/>
    <w:rsid w:val="191044B0"/>
    <w:rsid w:val="1B2418A5"/>
    <w:rsid w:val="1B8371BB"/>
    <w:rsid w:val="1D667883"/>
    <w:rsid w:val="1FBFC074"/>
    <w:rsid w:val="23907C91"/>
    <w:rsid w:val="282E6701"/>
    <w:rsid w:val="2E5C3FC8"/>
    <w:rsid w:val="306B5437"/>
    <w:rsid w:val="345C6E3C"/>
    <w:rsid w:val="36FB9E1F"/>
    <w:rsid w:val="370A4E7D"/>
    <w:rsid w:val="3B96528D"/>
    <w:rsid w:val="3BCD6245"/>
    <w:rsid w:val="3BFA3B96"/>
    <w:rsid w:val="3CEF3472"/>
    <w:rsid w:val="3EC10203"/>
    <w:rsid w:val="3EFF16E9"/>
    <w:rsid w:val="3F2D5930"/>
    <w:rsid w:val="40B55A6F"/>
    <w:rsid w:val="4336674E"/>
    <w:rsid w:val="48B06F92"/>
    <w:rsid w:val="4A0D3DDE"/>
    <w:rsid w:val="4D965197"/>
    <w:rsid w:val="4F50502B"/>
    <w:rsid w:val="53AF61B0"/>
    <w:rsid w:val="54042F7D"/>
    <w:rsid w:val="56A80582"/>
    <w:rsid w:val="5B7D13C7"/>
    <w:rsid w:val="65517B79"/>
    <w:rsid w:val="69C515DF"/>
    <w:rsid w:val="6A002D52"/>
    <w:rsid w:val="6CD77686"/>
    <w:rsid w:val="6F433FB6"/>
    <w:rsid w:val="6FF73E19"/>
    <w:rsid w:val="6FF84BF7"/>
    <w:rsid w:val="72BA2613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 Char Char Char"/>
    <w:basedOn w:val="1"/>
    <w:autoRedefine/>
    <w:qFormat/>
    <w:uiPriority w:val="0"/>
  </w:style>
  <w:style w:type="character" w:customStyle="1" w:styleId="12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table" w:customStyle="1" w:styleId="14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1300</Words>
  <Characters>1356</Characters>
  <Lines>60</Lines>
  <Paragraphs>17</Paragraphs>
  <TotalTime>0</TotalTime>
  <ScaleCrop>false</ScaleCrop>
  <LinksUpToDate>false</LinksUpToDate>
  <CharactersWithSpaces>1514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meng</cp:lastModifiedBy>
  <cp:lastPrinted>2014-02-21T05:34:00Z</cp:lastPrinted>
  <dcterms:modified xsi:type="dcterms:W3CDTF">2025-11-14T03:05:38Z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eyJoZGlkIjoiZWYzMDYyNzdhZmYzYzgwZGE1MWM3ZmMwZTkyOGZhOTciLCJ1c2VySWQiOiIzNzUwMzQ4OTYifQ==</vt:lpwstr>
  </property>
</Properties>
</file>