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FD7E0">
      <w:pPr>
        <w:spacing w:before="156" w:beforeLines="50" w:after="156" w:afterLines="50" w:line="40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 xml:space="preserve">证券代码： </w:t>
      </w:r>
      <w:r>
        <w:rPr>
          <w:rFonts w:asciiTheme="minorEastAsia" w:hAnsiTheme="minorEastAsia" w:eastAsiaTheme="minorEastAsia"/>
          <w:bCs/>
          <w:iCs/>
          <w:color w:val="000000"/>
          <w:sz w:val="24"/>
        </w:rPr>
        <w:t>688107</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证券简称：安路科技</w:t>
      </w:r>
    </w:p>
    <w:p w14:paraId="00C58B53">
      <w:pPr>
        <w:spacing w:before="312" w:beforeLines="10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上海安路信息科技股份有限公司</w:t>
      </w:r>
    </w:p>
    <w:p w14:paraId="72FF1E46">
      <w:pPr>
        <w:spacing w:before="156" w:beforeLines="5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投资者关系活动记录表</w:t>
      </w:r>
    </w:p>
    <w:p w14:paraId="1EE8DBF4">
      <w:pPr>
        <w:spacing w:line="400" w:lineRule="exact"/>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 xml:space="preserve">                                                      编号：2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lang w:val="en-US" w:eastAsia="zh-CN"/>
        </w:rPr>
        <w:t>3</w:t>
      </w:r>
    </w:p>
    <w:tbl>
      <w:tblPr>
        <w:tblStyle w:val="6"/>
        <w:tblW w:w="89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0"/>
      </w:tblGrid>
      <w:tr w14:paraId="12C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E320367">
            <w:pPr>
              <w:spacing w:line="480" w:lineRule="atLeast"/>
              <w:rPr>
                <w:rFonts w:asciiTheme="minorEastAsia" w:hAnsiTheme="minorEastAsia" w:eastAsiaTheme="minorEastAsia"/>
                <w:b/>
                <w:bCs/>
                <w:iCs/>
                <w:color w:val="000000"/>
                <w:sz w:val="24"/>
              </w:rPr>
            </w:pPr>
          </w:p>
          <w:p w14:paraId="67BB642A">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投资者关系活动类别</w:t>
            </w:r>
          </w:p>
        </w:tc>
        <w:tc>
          <w:tcPr>
            <w:tcW w:w="6940" w:type="dxa"/>
          </w:tcPr>
          <w:p w14:paraId="4D677F29">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□特定对象调研        □分析师会议</w:t>
            </w:r>
          </w:p>
          <w:p w14:paraId="3EAE0123">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□媒体采访            √业绩说明会</w:t>
            </w:r>
          </w:p>
          <w:p w14:paraId="414675D1">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□新闻发布会          □路演活动</w:t>
            </w:r>
          </w:p>
          <w:p w14:paraId="4943E464">
            <w:pPr>
              <w:tabs>
                <w:tab w:val="left" w:pos="2688"/>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□现场参观</w:t>
            </w:r>
            <w:r>
              <w:rPr>
                <w:rFonts w:asciiTheme="minorEastAsia" w:hAnsiTheme="minorEastAsia" w:eastAsiaTheme="minorEastAsia"/>
                <w:bCs/>
                <w:iCs/>
                <w:color w:val="000000"/>
                <w:sz w:val="24"/>
              </w:rPr>
              <w:tab/>
            </w:r>
            <w:r>
              <w:rPr>
                <w:rFonts w:hint="eastAsia" w:asciiTheme="minorEastAsia" w:hAnsiTheme="minorEastAsia" w:eastAsiaTheme="minorEastAsia"/>
                <w:bCs/>
                <w:iCs/>
                <w:color w:val="000000"/>
                <w:sz w:val="24"/>
              </w:rPr>
              <w:t>□电话会议</w:t>
            </w:r>
          </w:p>
          <w:p w14:paraId="6CF58A23">
            <w:pPr>
              <w:tabs>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□其他（请文字说明其他活动内容）</w:t>
            </w:r>
          </w:p>
        </w:tc>
      </w:tr>
      <w:tr w14:paraId="3146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303D1A82">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参与单位名称</w:t>
            </w:r>
          </w:p>
        </w:tc>
        <w:tc>
          <w:tcPr>
            <w:tcW w:w="6940" w:type="dxa"/>
          </w:tcPr>
          <w:p w14:paraId="50FDB0D4">
            <w:pPr>
              <w:spacing w:line="56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参与本次业绩说明会的线上投资者</w:t>
            </w:r>
          </w:p>
        </w:tc>
      </w:tr>
      <w:tr w14:paraId="094E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A37665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时间</w:t>
            </w:r>
          </w:p>
        </w:tc>
        <w:tc>
          <w:tcPr>
            <w:tcW w:w="6940" w:type="dxa"/>
            <w:vAlign w:val="center"/>
          </w:tcPr>
          <w:p w14:paraId="748A855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11</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13</w:t>
            </w:r>
            <w:r>
              <w:rPr>
                <w:rFonts w:hint="eastAsia" w:asciiTheme="minorEastAsia" w:hAnsiTheme="minorEastAsia" w:eastAsiaTheme="minorEastAsia"/>
                <w:bCs/>
                <w:iCs/>
                <w:color w:val="000000"/>
                <w:sz w:val="24"/>
              </w:rPr>
              <w:t>日下午1</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rPr>
              <w:t>-</w:t>
            </w:r>
            <w:r>
              <w:rPr>
                <w:rFonts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6</w:t>
            </w:r>
            <w:r>
              <w:rPr>
                <w:rFonts w:hint="eastAsia" w:asciiTheme="minorEastAsia" w:hAnsiTheme="minorEastAsia" w:eastAsiaTheme="minorEastAsia"/>
                <w:bCs/>
                <w:iCs/>
                <w:color w:val="000000"/>
                <w:sz w:val="24"/>
              </w:rPr>
              <w:t>:</w:t>
            </w:r>
            <w:r>
              <w:rPr>
                <w:rFonts w:hint="eastAsia" w:asciiTheme="minorEastAsia" w:hAnsiTheme="minorEastAsia" w:eastAsiaTheme="minorEastAsia"/>
                <w:bCs/>
                <w:iCs/>
                <w:color w:val="000000"/>
                <w:sz w:val="24"/>
                <w:lang w:val="en-US" w:eastAsia="zh-CN"/>
              </w:rPr>
              <w:t>3</w:t>
            </w:r>
            <w:r>
              <w:rPr>
                <w:rFonts w:asciiTheme="minorEastAsia" w:hAnsiTheme="minorEastAsia" w:eastAsiaTheme="minorEastAsia"/>
                <w:bCs/>
                <w:iCs/>
                <w:color w:val="000000"/>
                <w:sz w:val="24"/>
              </w:rPr>
              <w:t>0</w:t>
            </w:r>
          </w:p>
        </w:tc>
      </w:tr>
      <w:tr w14:paraId="209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5" w:type="dxa"/>
          </w:tcPr>
          <w:p w14:paraId="5BAE62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地点</w:t>
            </w:r>
          </w:p>
        </w:tc>
        <w:tc>
          <w:tcPr>
            <w:tcW w:w="6940" w:type="dxa"/>
            <w:vAlign w:val="center"/>
          </w:tcPr>
          <w:p w14:paraId="68D383B4">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上海证券交易所上证路演中心</w:t>
            </w:r>
          </w:p>
          <w:p w14:paraId="6CB9A19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（http://roadshow.sseinfo.com）</w:t>
            </w:r>
          </w:p>
        </w:tc>
      </w:tr>
      <w:tr w14:paraId="0302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96E17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上市公司参加人员姓名</w:t>
            </w:r>
          </w:p>
        </w:tc>
        <w:tc>
          <w:tcPr>
            <w:tcW w:w="6940" w:type="dxa"/>
            <w:vAlign w:val="center"/>
          </w:tcPr>
          <w:p w14:paraId="398A7A6B">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董事、总经理：</w:t>
            </w:r>
            <w:r>
              <w:rPr>
                <w:rFonts w:hint="eastAsia" w:asciiTheme="minorEastAsia" w:hAnsiTheme="minorEastAsia" w:eastAsiaTheme="minorEastAsia"/>
                <w:bCs/>
                <w:iCs/>
                <w:color w:val="000000"/>
                <w:sz w:val="24"/>
                <w:lang w:val="en-US" w:eastAsia="zh-CN"/>
              </w:rPr>
              <w:t>文华武</w:t>
            </w:r>
          </w:p>
          <w:p w14:paraId="3288DF14">
            <w:pPr>
              <w:spacing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eastAsiaTheme="minorEastAsia"/>
                <w:bCs/>
                <w:iCs/>
                <w:color w:val="000000"/>
                <w:sz w:val="24"/>
                <w:lang w:val="en-US" w:eastAsia="zh-CN"/>
              </w:rPr>
              <w:t>副总经理、</w:t>
            </w:r>
            <w:r>
              <w:rPr>
                <w:rFonts w:hint="eastAsia" w:asciiTheme="minorEastAsia" w:hAnsiTheme="minorEastAsia" w:eastAsiaTheme="minorEastAsia"/>
                <w:bCs/>
                <w:iCs/>
                <w:color w:val="000000"/>
                <w:sz w:val="24"/>
              </w:rPr>
              <w:t>财务总监</w:t>
            </w:r>
            <w:r>
              <w:rPr>
                <w:rFonts w:hint="eastAsia" w:asciiTheme="minorEastAsia" w:hAnsiTheme="minorEastAsia" w:eastAsiaTheme="minorEastAsia"/>
                <w:bCs/>
                <w:iCs/>
                <w:color w:val="000000"/>
                <w:sz w:val="24"/>
                <w:lang w:eastAsia="zh-CN"/>
              </w:rPr>
              <w:t>：</w:t>
            </w:r>
            <w:r>
              <w:rPr>
                <w:rFonts w:hint="eastAsia" w:asciiTheme="minorEastAsia" w:hAnsiTheme="minorEastAsia" w:eastAsiaTheme="minorEastAsia"/>
                <w:bCs/>
                <w:iCs/>
                <w:color w:val="000000"/>
                <w:sz w:val="24"/>
                <w:lang w:val="en-US" w:eastAsia="zh-CN"/>
              </w:rPr>
              <w:t>郑成</w:t>
            </w:r>
          </w:p>
          <w:p w14:paraId="3D0886F0">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董事会秘书：</w:t>
            </w:r>
            <w:r>
              <w:rPr>
                <w:rFonts w:hint="eastAsia" w:asciiTheme="minorEastAsia" w:hAnsiTheme="minorEastAsia" w:eastAsiaTheme="minorEastAsia"/>
                <w:bCs/>
                <w:iCs/>
                <w:color w:val="000000"/>
                <w:sz w:val="24"/>
                <w:lang w:val="en-US" w:eastAsia="zh-CN"/>
              </w:rPr>
              <w:t>吴浩然</w:t>
            </w:r>
          </w:p>
          <w:p w14:paraId="66A09893">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独立董事：戴继雄</w:t>
            </w:r>
          </w:p>
        </w:tc>
      </w:tr>
      <w:tr w14:paraId="44D6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5" w:type="dxa"/>
            <w:vAlign w:val="center"/>
          </w:tcPr>
          <w:p w14:paraId="4FE08585">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投资者关系活动主要内容介绍</w:t>
            </w:r>
          </w:p>
        </w:tc>
        <w:tc>
          <w:tcPr>
            <w:tcW w:w="6940" w:type="dxa"/>
          </w:tcPr>
          <w:p w14:paraId="19578E4A">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公司</w:t>
            </w:r>
            <w:r>
              <w:rPr>
                <w:rFonts w:hint="eastAsia" w:asciiTheme="minorEastAsia" w:hAnsiTheme="minorEastAsia" w:eastAsiaTheme="minorEastAsia"/>
                <w:bCs/>
                <w:iCs/>
                <w:color w:val="000000" w:themeColor="text1"/>
                <w:sz w:val="24"/>
                <w:lang w:val="en-US" w:eastAsia="zh-CN"/>
                <w14:textFill>
                  <w14:solidFill>
                    <w14:schemeClr w14:val="tx1"/>
                  </w14:solidFill>
                </w14:textFill>
              </w:rPr>
              <w:t>参加了在上海证券交易所上证路演中心网络平台(http://roadshow.sseinfo.com)举行的2025年上海辖区上市公司三季报集体业绩说明会，以网络文字互动的形式与投资者展开了互动交流。其中部分主要问题及回复如下：</w:t>
            </w:r>
          </w:p>
          <w:p w14:paraId="3E273F6C">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Q1：请介绍一下公司2025年第三季度经营情况如何？</w:t>
            </w:r>
          </w:p>
          <w:p w14:paraId="259549D7">
            <w:pPr>
              <w:spacing w:line="440" w:lineRule="exact"/>
              <w:ind w:firstLine="480" w:firstLineChars="200"/>
              <w:rPr>
                <w:rFonts w:hint="eastAsia" w:asciiTheme="minorEastAsia" w:hAnsiTheme="minorEastAsia" w:eastAsiaTheme="minorEastAsia"/>
                <w:b w:val="0"/>
                <w:bCs/>
                <w:iCs/>
                <w:color w:val="000000" w:themeColor="text1"/>
                <w:sz w:val="24"/>
                <w:lang w:val="en-US" w:eastAsia="zh-CN"/>
                <w14:textFill>
                  <w14:solidFill>
                    <w14:schemeClr w14:val="tx1"/>
                  </w14:solidFill>
                </w14:textFill>
              </w:rPr>
            </w:pPr>
            <w:r>
              <w:rPr>
                <w:rFonts w:hint="eastAsia" w:asciiTheme="minorEastAsia" w:hAnsiTheme="minorEastAsia" w:eastAsiaTheme="minorEastAsia"/>
                <w:b w:val="0"/>
                <w:bCs/>
                <w:iCs/>
                <w:color w:val="000000" w:themeColor="text1"/>
                <w:sz w:val="24"/>
                <w:lang w:val="en-US" w:eastAsia="zh-CN"/>
                <w14:textFill>
                  <w14:solidFill>
                    <w14:schemeClr w14:val="tx1"/>
                  </w14:solidFill>
                </w14:textFill>
              </w:rPr>
              <w:t>A：公司2025年前三季度累计实现营业收入3.68亿元，其中第三季度单季实现营收1.45亿元，较二季度环比增长11.42%，继前两个季度后，再次实现环比稳健增长。前三季度毛利率为43.86%，同比提高12.91个百分点。在部分终端需求回暖及新产品逐步上量的带动下，公司业绩正步入修复通道。这一增长得益于公司在传统市场的深耕与新市场的成功开拓。在工业控制等基本盘稳固的同时，公司在电力与新能源、智算中心服务器、汽车电子等新兴领域的重点突破，已逐渐成为极具潜力的业绩增长引擎。</w:t>
            </w:r>
          </w:p>
          <w:p w14:paraId="2575B9EF">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Q2：公司第一季度业绩面临较大压力，但第二、三季度连续实现环比增长，如何看待这种趋势变化？</w:t>
            </w:r>
          </w:p>
          <w:p w14:paraId="42E35FF7">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今年以来，公司营业收入变动主要受部分终端客户需求阶段性波动影响。2025年一季度已处于行业周期低谷，此后随着市场需求整体逐步复苏、部分终端客户需求回暖及新产品逐步放量，公司营业收入环比连续三个季度稳健增长。其中，第二季度营收实现39.40%的环比增长，第三季度继续保持增长势头，营收环比提升11.42%，标志着公司营收复苏趋势持续向好。</w:t>
            </w:r>
          </w:p>
          <w:p w14:paraId="2032DC80">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Q3：公司在新兴领域的具体进展如何？</w:t>
            </w:r>
          </w:p>
          <w:p w14:paraId="567C963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公司在诸如汽车电子、智算服务器等新兴领域均已实现技术突破及商业化落地。在汽车电子领域，已构建“芯片—方案—终端”完整技术链，公司的FPGA产品已在多家行业重点客户量产落地。除了适用车内的工业级型号，安路的部分FPGA芯片产品已获得AEC-Q100 Grade2认证，在智能座舱、汽车电控、激光雷达等产品中获得应用并量产。随着安路飞龙系列FPSoC产品和更多FPGA产品的客户应用落地，未来安路的FPGA芯片将在汽车领域的应用进一步拓展放量，为公司贡献更多营收。</w:t>
            </w:r>
          </w:p>
          <w:p w14:paraId="70A487F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在智算服务器领域，随着数据处理量级的增长，FPGA在接口转换、数据传输场景需求上升，公司通过市场与技术攻关，ELF系列、EAGLE系列的FPGA芯片在数据中心领域已有广泛应用，截至目前，安路产品已进入了诸多行业重点客户，产品性能与稳定性获得</w:t>
            </w:r>
            <w:bookmarkStart w:id="0" w:name="_GoBack"/>
            <w:bookmarkEnd w:id="0"/>
            <w:r>
              <w:rPr>
                <w:rFonts w:hint="eastAsia" w:asciiTheme="minorEastAsia" w:hAnsiTheme="minorEastAsia" w:eastAsiaTheme="minorEastAsia"/>
                <w:bCs/>
                <w:iCs/>
                <w:color w:val="000000" w:themeColor="text1"/>
                <w:sz w:val="24"/>
                <w:lang w:val="en-US" w:eastAsia="zh-CN"/>
                <w14:textFill>
                  <w14:solidFill>
                    <w14:schemeClr w14:val="tx1"/>
                  </w14:solidFill>
                </w14:textFill>
              </w:rPr>
              <w:t>认可，有望带来后续收入增长。</w:t>
            </w:r>
          </w:p>
          <w:p w14:paraId="7DA448DE">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Q4：量子通信和量子计算是未来极有前景的尖端技术，FPGA芯片作为量子系统的主要实现器件之一受到关注，请问安路是否有相关布局和计划？</w:t>
            </w:r>
          </w:p>
          <w:p w14:paraId="4D264CD4">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FPGA因其高并行处理能力、低延迟、可重配置性和硬件级灵活性，在量子科技领域中有着广阔的应用前景。在量子通信中，FPGA的应用场景主要在实时信号处理与控制、密钥算法处理、网络通信处理与资源调度等。在量子计算中，FPGA的高并行、高带宽、低延迟特性使得FPGA可应用在数字波形发生器，延时校准，高速实时数字信号处理等。另外，FPGA的灵活可编程特性使得FPGA也非常适合量子通信计算的模拟与仿真应用。</w:t>
            </w:r>
          </w:p>
          <w:p w14:paraId="620F9F5E">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安路科技高度关注FPGA的前沿发展，紧跟FPGA技术的演进与应用趋势，正在开发新一代高性能FPGA芯片。随着未来安路更高性能的FPGA产品面世，必将广泛应用于诸多高端的应用场景之中。</w:t>
            </w:r>
          </w:p>
          <w:p w14:paraId="4054D92B">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Q5：具身智能风口持续升温，公司FPGA技术是否有该领域的布局？</w:t>
            </w:r>
          </w:p>
          <w:p w14:paraId="183C05E4">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FPGA在具身智能机器人中具有广泛的应用潜力，可以用于传感器数据处理与融合、运动规划与控制、自主导航与避障、人工智能与机器学习加速以及数据传输与通信等多个关键部位和功能。在机器狗等四足机器人、人形机器人领域，我们的FPGA主要扮演了高速协处理器与高实时性控制核心的角色。比如空心杯电机是机器人关节的关键执行器，要求极高的响应速度和控制精度。我们的FPGA能够并行处理多路电机控制算法，实现对多个关节的实时、低延时、高精度的力矩和位置控制，决定了机器人的运动灵活性与稳定性。目前，公司的FPGA产品已在该领域有应用落地。</w:t>
            </w:r>
          </w:p>
          <w:p w14:paraId="63EBE4C8">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Q6：我们注意到公司的飞龙系列带有算力功能，能否请您具体介绍一下，目前公司产品已经实现规模化销售或产生收入的应用场景有哪些？</w:t>
            </w:r>
          </w:p>
          <w:p w14:paraId="517DE741">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A</w:t>
            </w:r>
            <w:r>
              <w:rPr>
                <w:rFonts w:hint="eastAsia" w:asciiTheme="minorEastAsia" w:hAnsiTheme="minorEastAsia" w:eastAsiaTheme="minorEastAsia"/>
                <w:bCs/>
                <w:iCs/>
                <w:color w:val="000000" w:themeColor="text1"/>
                <w:sz w:val="24"/>
                <w:lang w:val="en-US" w:eastAsia="zh-CN"/>
                <w14:textFill>
                  <w14:solidFill>
                    <w14:schemeClr w14:val="tx1"/>
                  </w14:solidFill>
                </w14:textFill>
              </w:rPr>
              <w:t>：公司DR1飞龙系列FPSoC®器件集成了硬核处理器系统双核ARM Cortex-A35或者64位RISC-V、FPGA可编程逻辑、NPU/JPU硬件加速单元，形成了硬核高性能ARM v8处理器产品或高性能RISC-V 64bit处理器两个产品系列，并且具备安路FPGA的灵活性、低功耗、软硬件可编程、可扩展SoC平台的优势。</w:t>
            </w:r>
          </w:p>
          <w:p w14:paraId="125DA0EB">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目前已成功应用于多个前沿科技领域，并形成了稳定的客户群体和收入来源。比如在农用无人机领域，我们的产品为无人机提供了稳定可靠的飞行控制和数据链路，目前已与相关客户建立合作，其产品广泛应用于精准施药、农田测绘等场景。无人机领域是低空经济的重要组成部分，随着工业现代化和智能化的发展，这一领域将为公司带来持续的增长动力。</w:t>
            </w:r>
          </w:p>
          <w:p w14:paraId="18B863F7">
            <w:pPr>
              <w:spacing w:line="440" w:lineRule="exact"/>
              <w:ind w:firstLine="482" w:firstLineChars="200"/>
              <w:rPr>
                <w:rFonts w:hint="default"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Q7：</w:t>
            </w:r>
            <w:r>
              <w:rPr>
                <w:rFonts w:hint="default" w:asciiTheme="minorEastAsia" w:hAnsiTheme="minorEastAsia" w:eastAsiaTheme="minorEastAsia"/>
                <w:b/>
                <w:bCs w:val="0"/>
                <w:iCs/>
                <w:color w:val="000000" w:themeColor="text1"/>
                <w:sz w:val="24"/>
                <w:lang w:val="en-US" w:eastAsia="zh-CN"/>
                <w14:textFill>
                  <w14:solidFill>
                    <w14:schemeClr w14:val="tx1"/>
                  </w14:solidFill>
                </w14:textFill>
              </w:rPr>
              <w:t>请问公司数据中心业务进展如何？是否已经开始向腾讯、阿里、华为、百度这些头部企业提供产品了？</w:t>
            </w:r>
          </w:p>
          <w:p w14:paraId="327C8EF5">
            <w:pPr>
              <w:spacing w:line="440" w:lineRule="exact"/>
              <w:ind w:firstLine="480" w:firstLineChars="200"/>
              <w:rPr>
                <w:rFonts w:hint="default" w:asciiTheme="minorEastAsia" w:hAnsiTheme="minorEastAsia" w:eastAsiaTheme="minorEastAsia"/>
                <w:b w:val="0"/>
                <w:bCs/>
                <w:iCs/>
                <w:color w:val="000000" w:themeColor="text1"/>
                <w:sz w:val="24"/>
                <w:lang w:val="en-US" w:eastAsia="zh-CN"/>
                <w14:textFill>
                  <w14:solidFill>
                    <w14:schemeClr w14:val="tx1"/>
                  </w14:solidFill>
                </w14:textFill>
              </w:rPr>
            </w:pPr>
            <w:r>
              <w:rPr>
                <w:rFonts w:hint="eastAsia" w:asciiTheme="minorEastAsia" w:hAnsiTheme="minorEastAsia" w:eastAsiaTheme="minorEastAsia"/>
                <w:b w:val="0"/>
                <w:bCs/>
                <w:iCs/>
                <w:color w:val="000000" w:themeColor="text1"/>
                <w:sz w:val="24"/>
                <w:lang w:val="en-US" w:eastAsia="zh-CN"/>
                <w14:textFill>
                  <w14:solidFill>
                    <w14:schemeClr w14:val="tx1"/>
                  </w14:solidFill>
                </w14:textFill>
              </w:rPr>
              <w:t>A：</w:t>
            </w: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公司的</w:t>
            </w:r>
            <w:r>
              <w:rPr>
                <w:rFonts w:hint="eastAsia" w:asciiTheme="minorEastAsia" w:hAnsiTheme="minorEastAsia" w:eastAsiaTheme="minorEastAsia"/>
                <w:bCs/>
                <w:iCs/>
                <w:color w:val="000000" w:themeColor="text1"/>
                <w:sz w:val="24"/>
                <w:lang w:val="en-US" w:eastAsia="zh-CN"/>
                <w14:textFill>
                  <w14:solidFill>
                    <w14:schemeClr w14:val="tx1"/>
                  </w14:solidFill>
                </w14:textFill>
              </w:rPr>
              <w:t>ELF</w:t>
            </w: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系列、</w:t>
            </w:r>
            <w:r>
              <w:rPr>
                <w:rFonts w:hint="eastAsia" w:asciiTheme="minorEastAsia" w:hAnsiTheme="minorEastAsia" w:eastAsiaTheme="minorEastAsia"/>
                <w:bCs/>
                <w:iCs/>
                <w:color w:val="000000" w:themeColor="text1"/>
                <w:sz w:val="24"/>
                <w:lang w:val="en-US" w:eastAsia="zh-CN"/>
                <w14:textFill>
                  <w14:solidFill>
                    <w14:schemeClr w14:val="tx1"/>
                  </w14:solidFill>
                </w14:textFill>
              </w:rPr>
              <w:t>EAGLE</w:t>
            </w:r>
            <w:r>
              <w:rPr>
                <w:rFonts w:hint="default" w:asciiTheme="minorEastAsia" w:hAnsiTheme="minorEastAsia" w:eastAsiaTheme="minorEastAsia"/>
                <w:b w:val="0"/>
                <w:bCs/>
                <w:iCs/>
                <w:color w:val="000000" w:themeColor="text1"/>
                <w:sz w:val="24"/>
                <w:lang w:val="en-US" w:eastAsia="zh-CN"/>
                <w14:textFill>
                  <w14:solidFill>
                    <w14:schemeClr w14:val="tx1"/>
                  </w14:solidFill>
                </w14:textFill>
              </w:rPr>
              <w:t>系列的FPGA芯片产品在数据中心领域已有广泛应用，发货量超数百万片。截至目前，安路产品已进入了诸多行业重点客户，或进入量产发货、或产品设计应用导入进行中。</w:t>
            </w:r>
          </w:p>
          <w:p w14:paraId="482C79EE">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Q8：公司去库存进度如何，是否积极采取措施推进？</w:t>
            </w:r>
          </w:p>
          <w:p w14:paraId="24926A76">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A：截至2025年9月30日，存货金额较年初下降9.50%。公司持续深化库存精细化管理，去库存工作成效进一步显现。</w:t>
            </w:r>
          </w:p>
          <w:p w14:paraId="5CBB1CBD">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lang w:val="en-US" w:eastAsia="zh-CN"/>
                <w14:textFill>
                  <w14:solidFill>
                    <w14:schemeClr w14:val="tx1"/>
                  </w14:solidFill>
                </w14:textFill>
              </w:rPr>
              <w:t>公司对库存结构进行细化分析，在销售端合理制定了针对不同类型存货的推广策略，实施了一系列去库存的激励措施，加大库存商品的销售力度，实现了库存的良性周转。同时，从运营端公司持续深化库存精细化管理，通过销售端针对性推广策略与生产端需求精准匹配，实现存货良性周转；财务层面，尽管短期面临研发投入巨大的挑战，但资产负债率12.73%显著低于行业平均水平，流动比率、速动比率均处于安全区间，显示出较强的偿债能力与财务韧性。同时，我们通过优化费用结构、提升资金使用效率等措施，为业务扩张提供稳定支撑。</w:t>
            </w:r>
          </w:p>
          <w:p w14:paraId="7AEA56A6">
            <w:pPr>
              <w:spacing w:line="440" w:lineRule="exact"/>
              <w:rPr>
                <w:rFonts w:hint="eastAsia" w:asciiTheme="minorEastAsia" w:hAnsiTheme="minorEastAsia" w:eastAsiaTheme="minorEastAsia"/>
                <w:bCs/>
                <w:iCs/>
                <w:color w:val="000000" w:themeColor="text1"/>
                <w:sz w:val="24"/>
                <w:lang w:val="en-US" w:eastAsia="zh-CN"/>
                <w14:textFill>
                  <w14:solidFill>
                    <w14:schemeClr w14:val="tx1"/>
                  </w14:solidFill>
                </w14:textFill>
              </w:rPr>
            </w:pPr>
          </w:p>
          <w:p w14:paraId="6248C5AD">
            <w:pPr>
              <w:spacing w:line="440" w:lineRule="exact"/>
              <w:jc w:val="left"/>
              <w:rPr>
                <w:rFonts w:hint="eastAsia" w:asciiTheme="minorEastAsia" w:hAnsiTheme="minorEastAsia" w:eastAsiaTheme="minorEastAsia"/>
                <w:bCs/>
                <w:iCs/>
                <w:color w:val="000000" w:themeColor="text1"/>
                <w:sz w:val="24"/>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有关本次业绩说明会的</w:t>
            </w:r>
            <w:r>
              <w:rPr>
                <w:rFonts w:hint="eastAsia"/>
                <w:sz w:val="24"/>
              </w:rPr>
              <w:t>更多</w:t>
            </w:r>
            <w:r>
              <w:rPr>
                <w:rFonts w:hint="eastAsia" w:asciiTheme="minorEastAsia" w:hAnsiTheme="minorEastAsia" w:eastAsiaTheme="minorEastAsia"/>
                <w:bCs/>
                <w:iCs/>
                <w:color w:val="000000" w:themeColor="text1"/>
                <w:sz w:val="24"/>
                <w14:textFill>
                  <w14:solidFill>
                    <w14:schemeClr w14:val="tx1"/>
                  </w14:solidFill>
                </w14:textFill>
              </w:rPr>
              <w:t>详情请见：</w:t>
            </w:r>
          </w:p>
          <w:p w14:paraId="513B269A">
            <w:pPr>
              <w:spacing w:line="440" w:lineRule="exact"/>
              <w:jc w:val="left"/>
              <w:rPr>
                <w:rFonts w:hint="eastAsia" w:asciiTheme="minorEastAsia" w:hAnsiTheme="minorEastAsia" w:eastAsiaTheme="minorEastAsia"/>
                <w:bCs/>
                <w:iCs/>
                <w:color w:val="000000" w:themeColor="text1"/>
                <w:sz w:val="24"/>
                <w:u w:val="none"/>
                <w14:textFill>
                  <w14:solidFill>
                    <w14:schemeClr w14:val="tx1"/>
                  </w14:solidFill>
                </w14:textFill>
              </w:rPr>
            </w:pPr>
            <w:r>
              <w:rPr>
                <w:rFonts w:hint="eastAsia" w:asciiTheme="minorEastAsia" w:hAnsiTheme="minorEastAsia" w:eastAsiaTheme="minorEastAsia"/>
                <w:bCs/>
                <w:iCs/>
                <w:color w:val="000000" w:themeColor="text1"/>
                <w:sz w:val="24"/>
                <w:u w:val="none"/>
                <w14:textFill>
                  <w14:solidFill>
                    <w14:schemeClr w14:val="tx1"/>
                  </w14:solidFill>
                </w14:textFill>
              </w:rPr>
              <w:t>https://roadshow.sseinfo.com/singleCompany/36700/231077</w:t>
            </w:r>
          </w:p>
        </w:tc>
      </w:tr>
      <w:tr w14:paraId="2A23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6317E294">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附件清单（如有）</w:t>
            </w:r>
          </w:p>
        </w:tc>
        <w:tc>
          <w:tcPr>
            <w:tcW w:w="6940" w:type="dxa"/>
          </w:tcPr>
          <w:p w14:paraId="4BC9B4EB">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无</w:t>
            </w:r>
          </w:p>
        </w:tc>
      </w:tr>
      <w:tr w14:paraId="7789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85" w:type="dxa"/>
            <w:vAlign w:val="center"/>
          </w:tcPr>
          <w:p w14:paraId="62E16338">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日期</w:t>
            </w:r>
          </w:p>
        </w:tc>
        <w:tc>
          <w:tcPr>
            <w:tcW w:w="6940" w:type="dxa"/>
          </w:tcPr>
          <w:p w14:paraId="6D3C8528">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11</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13</w:t>
            </w:r>
            <w:r>
              <w:rPr>
                <w:rFonts w:hint="eastAsia" w:asciiTheme="minorEastAsia" w:hAnsiTheme="minorEastAsia" w:eastAsiaTheme="minorEastAsia"/>
                <w:bCs/>
                <w:iCs/>
                <w:color w:val="000000"/>
                <w:sz w:val="24"/>
              </w:rPr>
              <w:t>日</w:t>
            </w:r>
          </w:p>
        </w:tc>
      </w:tr>
    </w:tbl>
    <w:p w14:paraId="3CB368FC">
      <w:pPr>
        <w:rPr>
          <w:rFonts w:asciiTheme="minorEastAsia" w:hAnsiTheme="minorEastAsia" w:eastAsiaTheme="minor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CA8E">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38B8694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1102">
    <w:pPr>
      <w:pStyle w:val="4"/>
      <w:framePr w:wrap="around" w:vAnchor="text" w:hAnchor="margin" w:xAlign="center" w:y="1"/>
      <w:rPr>
        <w:rStyle w:val="8"/>
      </w:rPr>
    </w:pPr>
    <w:r>
      <w:fldChar w:fldCharType="begin"/>
    </w:r>
    <w:r>
      <w:rPr>
        <w:rStyle w:val="8"/>
      </w:rPr>
      <w:instrText xml:space="preserve">PAGE  </w:instrText>
    </w:r>
    <w:r>
      <w:fldChar w:fldCharType="end"/>
    </w:r>
  </w:p>
  <w:p w14:paraId="0AFE86A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DRkNDAzYThiMjNjNjg0ZWMwMjhmZWNkNzNhNTEifQ=="/>
  </w:docVars>
  <w:rsids>
    <w:rsidRoot w:val="001B4B80"/>
    <w:rsid w:val="00005B18"/>
    <w:rsid w:val="000062BD"/>
    <w:rsid w:val="000557A1"/>
    <w:rsid w:val="00077951"/>
    <w:rsid w:val="0008744D"/>
    <w:rsid w:val="00095948"/>
    <w:rsid w:val="000A174A"/>
    <w:rsid w:val="000B1943"/>
    <w:rsid w:val="000C73FB"/>
    <w:rsid w:val="000E0D06"/>
    <w:rsid w:val="000F58F5"/>
    <w:rsid w:val="00107B4B"/>
    <w:rsid w:val="00114AFC"/>
    <w:rsid w:val="00116B35"/>
    <w:rsid w:val="00131928"/>
    <w:rsid w:val="0013413F"/>
    <w:rsid w:val="00134C9D"/>
    <w:rsid w:val="00140FA0"/>
    <w:rsid w:val="001430D6"/>
    <w:rsid w:val="00167354"/>
    <w:rsid w:val="001832B0"/>
    <w:rsid w:val="00185B23"/>
    <w:rsid w:val="001A7497"/>
    <w:rsid w:val="001B154C"/>
    <w:rsid w:val="001B4B80"/>
    <w:rsid w:val="001C299E"/>
    <w:rsid w:val="001C6BD4"/>
    <w:rsid w:val="001D4138"/>
    <w:rsid w:val="001D4EBB"/>
    <w:rsid w:val="001E4216"/>
    <w:rsid w:val="001F586A"/>
    <w:rsid w:val="00205E01"/>
    <w:rsid w:val="00206C54"/>
    <w:rsid w:val="0021117B"/>
    <w:rsid w:val="0021339D"/>
    <w:rsid w:val="0022274F"/>
    <w:rsid w:val="00297F92"/>
    <w:rsid w:val="002A40B2"/>
    <w:rsid w:val="002A4634"/>
    <w:rsid w:val="002B5592"/>
    <w:rsid w:val="002C45E3"/>
    <w:rsid w:val="002D7ED8"/>
    <w:rsid w:val="002F5722"/>
    <w:rsid w:val="00305F24"/>
    <w:rsid w:val="00307DB8"/>
    <w:rsid w:val="00316E17"/>
    <w:rsid w:val="00340596"/>
    <w:rsid w:val="003522D5"/>
    <w:rsid w:val="003D5A99"/>
    <w:rsid w:val="0040498E"/>
    <w:rsid w:val="004172E0"/>
    <w:rsid w:val="00437332"/>
    <w:rsid w:val="00487072"/>
    <w:rsid w:val="004955B7"/>
    <w:rsid w:val="004E068A"/>
    <w:rsid w:val="004E2B24"/>
    <w:rsid w:val="005272DE"/>
    <w:rsid w:val="00542CBA"/>
    <w:rsid w:val="0055137C"/>
    <w:rsid w:val="005534E4"/>
    <w:rsid w:val="00564AD4"/>
    <w:rsid w:val="00572303"/>
    <w:rsid w:val="0057541A"/>
    <w:rsid w:val="005C5B67"/>
    <w:rsid w:val="005C6828"/>
    <w:rsid w:val="005D5923"/>
    <w:rsid w:val="00600757"/>
    <w:rsid w:val="00620DA6"/>
    <w:rsid w:val="00626F24"/>
    <w:rsid w:val="006418E5"/>
    <w:rsid w:val="00647BAE"/>
    <w:rsid w:val="00684696"/>
    <w:rsid w:val="00694627"/>
    <w:rsid w:val="006C2702"/>
    <w:rsid w:val="006C4064"/>
    <w:rsid w:val="006D40CB"/>
    <w:rsid w:val="006E11D4"/>
    <w:rsid w:val="006F0437"/>
    <w:rsid w:val="006F32A2"/>
    <w:rsid w:val="007619B1"/>
    <w:rsid w:val="00761B72"/>
    <w:rsid w:val="007657D4"/>
    <w:rsid w:val="007958EB"/>
    <w:rsid w:val="007C57C0"/>
    <w:rsid w:val="007C7B43"/>
    <w:rsid w:val="00820AA1"/>
    <w:rsid w:val="008212C8"/>
    <w:rsid w:val="00821CB9"/>
    <w:rsid w:val="00822680"/>
    <w:rsid w:val="00845D6C"/>
    <w:rsid w:val="00865F0D"/>
    <w:rsid w:val="008B78B5"/>
    <w:rsid w:val="008C2A9F"/>
    <w:rsid w:val="008C4DA7"/>
    <w:rsid w:val="008E1FFD"/>
    <w:rsid w:val="008E2566"/>
    <w:rsid w:val="008E3C84"/>
    <w:rsid w:val="008F2321"/>
    <w:rsid w:val="009421F0"/>
    <w:rsid w:val="00956518"/>
    <w:rsid w:val="0095680F"/>
    <w:rsid w:val="00964247"/>
    <w:rsid w:val="00991A6E"/>
    <w:rsid w:val="009928A9"/>
    <w:rsid w:val="00994191"/>
    <w:rsid w:val="009975C4"/>
    <w:rsid w:val="009A2924"/>
    <w:rsid w:val="009E125C"/>
    <w:rsid w:val="00A0184C"/>
    <w:rsid w:val="00A21C46"/>
    <w:rsid w:val="00A95725"/>
    <w:rsid w:val="00AB15FD"/>
    <w:rsid w:val="00AD78E6"/>
    <w:rsid w:val="00AF11F7"/>
    <w:rsid w:val="00AF1910"/>
    <w:rsid w:val="00B346F8"/>
    <w:rsid w:val="00B43F12"/>
    <w:rsid w:val="00B507A2"/>
    <w:rsid w:val="00B55A7E"/>
    <w:rsid w:val="00B605E0"/>
    <w:rsid w:val="00B62A3A"/>
    <w:rsid w:val="00B70405"/>
    <w:rsid w:val="00B74412"/>
    <w:rsid w:val="00B9238F"/>
    <w:rsid w:val="00B97CED"/>
    <w:rsid w:val="00BA246D"/>
    <w:rsid w:val="00BB09A6"/>
    <w:rsid w:val="00BE14E1"/>
    <w:rsid w:val="00BE4171"/>
    <w:rsid w:val="00C0257E"/>
    <w:rsid w:val="00C067D9"/>
    <w:rsid w:val="00C12530"/>
    <w:rsid w:val="00C20BD1"/>
    <w:rsid w:val="00C77640"/>
    <w:rsid w:val="00C821F9"/>
    <w:rsid w:val="00C97762"/>
    <w:rsid w:val="00CC3948"/>
    <w:rsid w:val="00CE30E8"/>
    <w:rsid w:val="00D1052B"/>
    <w:rsid w:val="00D43DDE"/>
    <w:rsid w:val="00D6774C"/>
    <w:rsid w:val="00D92149"/>
    <w:rsid w:val="00DA6E4D"/>
    <w:rsid w:val="00DA6EA7"/>
    <w:rsid w:val="00DC19CB"/>
    <w:rsid w:val="00DE1A6F"/>
    <w:rsid w:val="00DE38A3"/>
    <w:rsid w:val="00E0039C"/>
    <w:rsid w:val="00E14F93"/>
    <w:rsid w:val="00E26254"/>
    <w:rsid w:val="00E5768C"/>
    <w:rsid w:val="00E7186A"/>
    <w:rsid w:val="00E808F7"/>
    <w:rsid w:val="00E902CB"/>
    <w:rsid w:val="00E93B3D"/>
    <w:rsid w:val="00ED2548"/>
    <w:rsid w:val="00ED580C"/>
    <w:rsid w:val="00EE076D"/>
    <w:rsid w:val="00EE3C7C"/>
    <w:rsid w:val="00EE4F50"/>
    <w:rsid w:val="00EE7C38"/>
    <w:rsid w:val="00F15A64"/>
    <w:rsid w:val="00F22B51"/>
    <w:rsid w:val="00F25AB4"/>
    <w:rsid w:val="00F42187"/>
    <w:rsid w:val="00F4652D"/>
    <w:rsid w:val="00F5016E"/>
    <w:rsid w:val="00F609F5"/>
    <w:rsid w:val="00FA1EE8"/>
    <w:rsid w:val="00FA7FB0"/>
    <w:rsid w:val="00FB0600"/>
    <w:rsid w:val="00FD1CB8"/>
    <w:rsid w:val="00FF5504"/>
    <w:rsid w:val="023D293E"/>
    <w:rsid w:val="03C2134C"/>
    <w:rsid w:val="05235E1B"/>
    <w:rsid w:val="06D118A6"/>
    <w:rsid w:val="06DF0467"/>
    <w:rsid w:val="09FB7366"/>
    <w:rsid w:val="0B6158EF"/>
    <w:rsid w:val="0C860AA1"/>
    <w:rsid w:val="0D996F38"/>
    <w:rsid w:val="0DFF319D"/>
    <w:rsid w:val="0E9B1118"/>
    <w:rsid w:val="0EA35A5C"/>
    <w:rsid w:val="0F2F360E"/>
    <w:rsid w:val="10545A22"/>
    <w:rsid w:val="1086689E"/>
    <w:rsid w:val="11390774"/>
    <w:rsid w:val="11421D1E"/>
    <w:rsid w:val="122B27B2"/>
    <w:rsid w:val="13491142"/>
    <w:rsid w:val="13C7650B"/>
    <w:rsid w:val="17FE5568"/>
    <w:rsid w:val="18FF04F5"/>
    <w:rsid w:val="198C3D31"/>
    <w:rsid w:val="1A037B71"/>
    <w:rsid w:val="1B46240B"/>
    <w:rsid w:val="1C654B13"/>
    <w:rsid w:val="1CEE2D5A"/>
    <w:rsid w:val="1D3D12D6"/>
    <w:rsid w:val="1F5C21FD"/>
    <w:rsid w:val="21E85FCA"/>
    <w:rsid w:val="26026EB4"/>
    <w:rsid w:val="268575C1"/>
    <w:rsid w:val="277A5916"/>
    <w:rsid w:val="27930786"/>
    <w:rsid w:val="284F17E9"/>
    <w:rsid w:val="28812CD5"/>
    <w:rsid w:val="28FE4325"/>
    <w:rsid w:val="29037B8D"/>
    <w:rsid w:val="29D15596"/>
    <w:rsid w:val="2B8723B0"/>
    <w:rsid w:val="2CD05FD9"/>
    <w:rsid w:val="2D0A14EA"/>
    <w:rsid w:val="2DB33930"/>
    <w:rsid w:val="2F8512FC"/>
    <w:rsid w:val="32A96648"/>
    <w:rsid w:val="3344327C"/>
    <w:rsid w:val="34F12F90"/>
    <w:rsid w:val="36D3264D"/>
    <w:rsid w:val="382920B3"/>
    <w:rsid w:val="398E5251"/>
    <w:rsid w:val="3AD9074E"/>
    <w:rsid w:val="3B0F23C2"/>
    <w:rsid w:val="3B133C60"/>
    <w:rsid w:val="3F06543D"/>
    <w:rsid w:val="41D41C6F"/>
    <w:rsid w:val="41F000EB"/>
    <w:rsid w:val="434B7D0F"/>
    <w:rsid w:val="4487121B"/>
    <w:rsid w:val="451707F1"/>
    <w:rsid w:val="476F0470"/>
    <w:rsid w:val="47857C94"/>
    <w:rsid w:val="47E81FD1"/>
    <w:rsid w:val="49470F79"/>
    <w:rsid w:val="494F67AB"/>
    <w:rsid w:val="49D92519"/>
    <w:rsid w:val="4B022328"/>
    <w:rsid w:val="4BC045B9"/>
    <w:rsid w:val="4C281CF5"/>
    <w:rsid w:val="4CCC3C6F"/>
    <w:rsid w:val="4D7367E0"/>
    <w:rsid w:val="4D956757"/>
    <w:rsid w:val="4DD4267A"/>
    <w:rsid w:val="4FA7451F"/>
    <w:rsid w:val="54D47B64"/>
    <w:rsid w:val="559A7D12"/>
    <w:rsid w:val="58346B6C"/>
    <w:rsid w:val="5A131F6F"/>
    <w:rsid w:val="5B745BFD"/>
    <w:rsid w:val="5BB95D06"/>
    <w:rsid w:val="5C966047"/>
    <w:rsid w:val="5DDD2180"/>
    <w:rsid w:val="5DDE6A08"/>
    <w:rsid w:val="5DE51034"/>
    <w:rsid w:val="5FB7255D"/>
    <w:rsid w:val="60040B99"/>
    <w:rsid w:val="608C39E9"/>
    <w:rsid w:val="60AC5E39"/>
    <w:rsid w:val="613B5D90"/>
    <w:rsid w:val="61AC3499"/>
    <w:rsid w:val="61BA6334"/>
    <w:rsid w:val="624A3B5C"/>
    <w:rsid w:val="625917E8"/>
    <w:rsid w:val="66C82E05"/>
    <w:rsid w:val="67980EC5"/>
    <w:rsid w:val="68120C78"/>
    <w:rsid w:val="68B33846"/>
    <w:rsid w:val="68EC771B"/>
    <w:rsid w:val="6A395119"/>
    <w:rsid w:val="6A935974"/>
    <w:rsid w:val="6BE309CF"/>
    <w:rsid w:val="6D194857"/>
    <w:rsid w:val="6DAF0D17"/>
    <w:rsid w:val="70F84783"/>
    <w:rsid w:val="714A1482"/>
    <w:rsid w:val="738D02BF"/>
    <w:rsid w:val="74454183"/>
    <w:rsid w:val="765468FF"/>
    <w:rsid w:val="76CC293A"/>
    <w:rsid w:val="77422BFC"/>
    <w:rsid w:val="778D031B"/>
    <w:rsid w:val="77F4039A"/>
    <w:rsid w:val="7BB8348D"/>
    <w:rsid w:val="7C613B24"/>
    <w:rsid w:val="7CA0316F"/>
    <w:rsid w:val="7CD462D3"/>
    <w:rsid w:val="7CFD384D"/>
    <w:rsid w:val="7D6E64F9"/>
    <w:rsid w:val="7DA55C93"/>
    <w:rsid w:val="7E2848A5"/>
    <w:rsid w:val="7F1E7AAB"/>
    <w:rsid w:val="7F967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basedOn w:val="7"/>
    <w:semiHidden/>
    <w:unhideWhenUsed/>
    <w:qFormat/>
    <w:uiPriority w:val="99"/>
    <w:rPr>
      <w:color w:val="800080"/>
      <w:u w:val="single"/>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customStyle="1" w:styleId="12">
    <w:name w:val="页脚 字符"/>
    <w:basedOn w:val="7"/>
    <w:link w:val="4"/>
    <w:qFormat/>
    <w:uiPriority w:val="99"/>
    <w:rPr>
      <w:rFonts w:ascii="Times New Roman" w:hAnsi="Times New Roman" w:eastAsia="宋体" w:cs="Times New Roman"/>
      <w:sz w:val="18"/>
      <w:szCs w:val="18"/>
    </w:rPr>
  </w:style>
  <w:style w:type="paragraph" w:customStyle="1" w:styleId="13">
    <w:name w:val="005正文"/>
    <w:basedOn w:val="1"/>
    <w:link w:val="14"/>
    <w:qFormat/>
    <w:uiPriority w:val="0"/>
    <w:pPr>
      <w:spacing w:before="50" w:beforeLines="50" w:line="360" w:lineRule="auto"/>
      <w:ind w:firstLine="200" w:firstLineChars="200"/>
    </w:pPr>
    <w:rPr>
      <w:sz w:val="24"/>
      <w:szCs w:val="22"/>
    </w:rPr>
  </w:style>
  <w:style w:type="character" w:customStyle="1" w:styleId="14">
    <w:name w:val="005正文 Char"/>
    <w:link w:val="13"/>
    <w:qFormat/>
    <w:uiPriority w:val="0"/>
    <w:rPr>
      <w:rFonts w:ascii="Times New Roman" w:hAnsi="Times New Roman" w:eastAsia="宋体" w:cs="Times New Roman"/>
      <w:sz w:val="24"/>
    </w:rPr>
  </w:style>
  <w:style w:type="character" w:customStyle="1" w:styleId="15">
    <w:name w:val="页眉 字符"/>
    <w:basedOn w:val="7"/>
    <w:link w:val="5"/>
    <w:qFormat/>
    <w:uiPriority w:val="99"/>
    <w:rPr>
      <w:rFonts w:ascii="Times New Roman" w:hAnsi="Times New Roman" w:eastAsia="宋体" w:cs="Times New Roman"/>
      <w:sz w:val="18"/>
      <w:szCs w:val="18"/>
    </w:rPr>
  </w:style>
  <w:style w:type="character" w:customStyle="1" w:styleId="16">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9420-DF24-41F9-B370-2BC91F73969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2492</Words>
  <Characters>2842</Characters>
  <Lines>15</Lines>
  <Paragraphs>4</Paragraphs>
  <TotalTime>3</TotalTime>
  <ScaleCrop>false</ScaleCrop>
  <LinksUpToDate>false</LinksUpToDate>
  <CharactersWithSpaces>2964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2021-11-15T10:36:00Z</dcterms:created>
  <dc:creator>gxc</dc:creator>
  <cp:lastModifiedBy>姚琰</cp:lastModifiedBy>
  <cp:lastPrinted>2024-09-12T07:23:00Z</cp:lastPrinted>
  <dcterms:modified xsi:type="dcterms:W3CDTF">2025-11-14T14:07:07Z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EA9EF562CA124855A2B45FE2B893801A_12</vt:lpwstr>
  </property>
  <property fmtid="{D5CDD505-2E9C-101B-9397-08002B2CF9AE}" pid="4" name="KSOTemplateDocerSaveRecord">
    <vt:lpwstr>eyJoZGlkIjoiMDA3YjIzNjRjOTZiYmFkYWMzYjRmMDQ2ZTE4NjkwZTYiLCJ1c2VySWQiOiIxNDg5OTEzMDY2In0=</vt:lpwstr>
  </property>
</Properties>
</file>