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2C8" w:rsidRPr="002F12EA" w:rsidRDefault="00AA6C35">
      <w:pPr>
        <w:snapToGrid/>
        <w:spacing w:before="0" w:after="220" w:line="360" w:lineRule="auto"/>
        <w:rPr>
          <w:rFonts w:ascii="Times New Roman" w:eastAsia="宋体" w:hAnsi="Times New Roman" w:cs="Times New Roman"/>
        </w:rPr>
      </w:pPr>
      <w:r w:rsidRPr="002F12EA">
        <w:rPr>
          <w:rFonts w:ascii="Times New Roman" w:eastAsia="宋体" w:hAnsi="Times New Roman" w:cs="Times New Roman"/>
          <w:b/>
          <w:color w:val="000000"/>
          <w:sz w:val="24"/>
        </w:rPr>
        <w:t>证券代码：</w:t>
      </w:r>
      <w:r w:rsidRPr="002F12EA">
        <w:rPr>
          <w:rFonts w:ascii="Times New Roman" w:eastAsia="宋体" w:hAnsi="Times New Roman" w:cs="Times New Roman"/>
          <w:b/>
          <w:color w:val="000000"/>
          <w:sz w:val="24"/>
        </w:rPr>
        <w:t xml:space="preserve">688005              </w:t>
      </w:r>
      <w:r w:rsidR="00DA7D3B">
        <w:rPr>
          <w:rFonts w:ascii="Times New Roman" w:eastAsia="宋体" w:hAnsi="Times New Roman" w:cs="Times New Roman"/>
          <w:b/>
          <w:color w:val="000000"/>
          <w:sz w:val="24"/>
        </w:rPr>
        <w:t xml:space="preserve">        </w:t>
      </w:r>
      <w:r w:rsidRPr="002F12EA">
        <w:rPr>
          <w:rFonts w:ascii="Times New Roman" w:eastAsia="宋体" w:hAnsi="Times New Roman" w:cs="Times New Roman"/>
          <w:b/>
          <w:color w:val="000000"/>
          <w:sz w:val="24"/>
        </w:rPr>
        <w:t xml:space="preserve"> </w:t>
      </w:r>
      <w:r w:rsidRPr="002F12EA">
        <w:rPr>
          <w:rFonts w:ascii="Times New Roman" w:eastAsia="宋体" w:hAnsi="Times New Roman" w:cs="Times New Roman"/>
          <w:b/>
          <w:color w:val="000000"/>
          <w:sz w:val="24"/>
        </w:rPr>
        <w:t>证券简称：容百科技</w:t>
      </w:r>
      <w:r w:rsidRPr="002F12EA">
        <w:rPr>
          <w:rFonts w:ascii="Times New Roman" w:eastAsia="宋体" w:hAnsi="Times New Roman" w:cs="Times New Roman"/>
          <w:b/>
          <w:color w:val="000000"/>
          <w:sz w:val="24"/>
        </w:rPr>
        <w:t xml:space="preserve">            </w:t>
      </w:r>
      <w:r w:rsidR="00DA7D3B">
        <w:rPr>
          <w:rFonts w:ascii="Times New Roman" w:eastAsia="宋体" w:hAnsi="Times New Roman" w:cs="Times New Roman"/>
          <w:b/>
          <w:color w:val="000000"/>
          <w:sz w:val="24"/>
        </w:rPr>
        <w:t xml:space="preserve">                </w:t>
      </w:r>
      <w:r w:rsidRPr="002F12EA">
        <w:rPr>
          <w:rFonts w:ascii="Times New Roman" w:eastAsia="宋体" w:hAnsi="Times New Roman" w:cs="Times New Roman"/>
          <w:b/>
          <w:color w:val="000000"/>
          <w:sz w:val="24"/>
        </w:rPr>
        <w:t>编号：</w:t>
      </w:r>
      <w:r w:rsidRPr="002F12EA">
        <w:rPr>
          <w:rFonts w:ascii="Times New Roman" w:eastAsia="宋体" w:hAnsi="Times New Roman" w:cs="Times New Roman"/>
          <w:b/>
          <w:color w:val="000000"/>
          <w:sz w:val="24"/>
        </w:rPr>
        <w:t>2025-00</w:t>
      </w:r>
      <w:r w:rsidR="00E92F29" w:rsidRPr="002F12EA">
        <w:rPr>
          <w:rFonts w:ascii="Times New Roman" w:eastAsia="宋体" w:hAnsi="Times New Roman" w:cs="Times New Roman"/>
          <w:b/>
          <w:color w:val="000000"/>
          <w:sz w:val="24"/>
        </w:rPr>
        <w:t>6</w:t>
      </w:r>
    </w:p>
    <w:p w:rsidR="00D922C8" w:rsidRPr="002F12EA" w:rsidRDefault="00AA6C35">
      <w:pPr>
        <w:snapToGrid/>
        <w:spacing w:before="0" w:after="217" w:line="360" w:lineRule="auto"/>
        <w:ind w:left="4153"/>
        <w:rPr>
          <w:rFonts w:ascii="Times New Roman" w:hAnsi="Times New Roman" w:cs="Times New Roman"/>
        </w:rPr>
      </w:pPr>
      <w:r w:rsidRPr="002F12EA">
        <w:rPr>
          <w:rFonts w:ascii="Times New Roman" w:eastAsia="宋体" w:hAnsi="Times New Roman" w:cs="Times New Roman"/>
          <w:color w:val="000000"/>
          <w:sz w:val="24"/>
        </w:rPr>
        <w:t> </w:t>
      </w:r>
    </w:p>
    <w:p w:rsidR="00D922C8" w:rsidRPr="002F12EA" w:rsidRDefault="00AA6C35">
      <w:pPr>
        <w:snapToGrid/>
        <w:spacing w:before="0" w:after="0" w:line="360" w:lineRule="auto"/>
        <w:ind w:firstLine="643"/>
        <w:jc w:val="center"/>
        <w:rPr>
          <w:rFonts w:ascii="Times New Roman" w:hAnsi="Times New Roman" w:cs="Times New Roman"/>
          <w:sz w:val="28"/>
        </w:rPr>
      </w:pPr>
      <w:r w:rsidRPr="002F12EA">
        <w:rPr>
          <w:rFonts w:ascii="Times New Roman" w:eastAsia="宋体" w:hAnsi="Times New Roman" w:cs="Times New Roman"/>
          <w:b/>
          <w:color w:val="000000"/>
          <w:sz w:val="32"/>
        </w:rPr>
        <w:t>宁波容百新能源科技股份有限公司</w:t>
      </w:r>
    </w:p>
    <w:p w:rsidR="00D922C8" w:rsidRPr="002F12EA" w:rsidRDefault="00AA6C35">
      <w:pPr>
        <w:snapToGrid/>
        <w:spacing w:before="0" w:after="0" w:line="360" w:lineRule="auto"/>
        <w:ind w:firstLine="643"/>
        <w:jc w:val="center"/>
        <w:rPr>
          <w:rFonts w:ascii="Times New Roman" w:hAnsi="Times New Roman" w:cs="Times New Roman"/>
          <w:sz w:val="28"/>
        </w:rPr>
      </w:pPr>
      <w:r w:rsidRPr="002F12EA">
        <w:rPr>
          <w:rFonts w:ascii="Times New Roman" w:eastAsia="宋体" w:hAnsi="Times New Roman" w:cs="Times New Roman"/>
          <w:b/>
          <w:color w:val="000000"/>
          <w:sz w:val="32"/>
        </w:rPr>
        <w:t>投资者关系活动记录表</w:t>
      </w:r>
    </w:p>
    <w:p w:rsidR="00D922C8" w:rsidRPr="002F12EA" w:rsidRDefault="00AA6C35">
      <w:pPr>
        <w:snapToGrid/>
        <w:spacing w:before="0" w:after="0" w:line="360" w:lineRule="auto"/>
        <w:ind w:left="1179" w:right="105"/>
        <w:jc w:val="right"/>
        <w:rPr>
          <w:rFonts w:ascii="Times New Roman" w:hAnsi="Times New Roman" w:cs="Times New Roman"/>
        </w:rPr>
      </w:pPr>
      <w:r w:rsidRPr="002F12EA">
        <w:rPr>
          <w:rFonts w:ascii="Times New Roman" w:eastAsia="宋体" w:hAnsi="Times New Roman" w:cs="Times New Roman"/>
          <w:color w:val="000000"/>
          <w:sz w:val="24"/>
        </w:rPr>
        <w:t> </w:t>
      </w:r>
    </w:p>
    <w:tbl>
      <w:tblPr>
        <w:tblStyle w:val="a8"/>
        <w:tblW w:w="0" w:type="auto"/>
        <w:jc w:val="center"/>
        <w:tblLayout w:type="fixed"/>
        <w:tblLook w:val="04A0" w:firstRow="1" w:lastRow="0" w:firstColumn="1" w:lastColumn="0" w:noHBand="0" w:noVBand="1"/>
      </w:tblPr>
      <w:tblGrid>
        <w:gridCol w:w="1275"/>
        <w:gridCol w:w="7500"/>
      </w:tblGrid>
      <w:tr w:rsidR="00D922C8" w:rsidRPr="002F12EA">
        <w:trPr>
          <w:trHeight w:val="2480"/>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D922C8" w:rsidRPr="002F12EA" w:rsidRDefault="00AA6C35">
            <w:pPr>
              <w:spacing w:before="0" w:after="0" w:line="360" w:lineRule="auto"/>
              <w:jc w:val="center"/>
              <w:rPr>
                <w:rFonts w:ascii="Times New Roman" w:hAnsi="Times New Roman" w:cs="Times New Roman"/>
              </w:rPr>
            </w:pPr>
            <w:r w:rsidRPr="002F12EA">
              <w:rPr>
                <w:rFonts w:ascii="Times New Roman" w:eastAsia="宋体" w:hAnsi="Times New Roman" w:cs="Times New Roman"/>
                <w:b/>
                <w:color w:val="000000"/>
                <w:sz w:val="24"/>
              </w:rPr>
              <w:t>投资者关系活动类别</w:t>
            </w:r>
          </w:p>
        </w:tc>
        <w:tc>
          <w:tcPr>
            <w:tcW w:w="7500"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vAlign w:val="bottom"/>
          </w:tcPr>
          <w:p w:rsidR="00D922C8" w:rsidRPr="002F12EA" w:rsidRDefault="00AA6C35">
            <w:pPr>
              <w:spacing w:before="0" w:after="0" w:line="360" w:lineRule="auto"/>
              <w:rPr>
                <w:rFonts w:ascii="Times New Roman" w:hAnsi="Times New Roman" w:cs="Times New Roman"/>
              </w:rPr>
            </w:pPr>
            <w:r w:rsidRPr="002F12EA">
              <w:rPr>
                <w:rFonts w:ascii="Times New Roman" w:eastAsia="宋体" w:hAnsi="Times New Roman" w:cs="Times New Roman"/>
                <w:color w:val="000000"/>
                <w:sz w:val="24"/>
              </w:rPr>
              <w:t>□</w:t>
            </w:r>
            <w:r w:rsidRPr="002F12EA">
              <w:rPr>
                <w:rFonts w:ascii="Times New Roman" w:eastAsia="宋体" w:hAnsi="Times New Roman" w:cs="Times New Roman"/>
                <w:color w:val="000000"/>
                <w:sz w:val="24"/>
              </w:rPr>
              <w:t>特定对象调研</w:t>
            </w:r>
            <w:r w:rsidRPr="002F12EA">
              <w:rPr>
                <w:rFonts w:ascii="Times New Roman" w:eastAsia="宋体" w:hAnsi="Times New Roman" w:cs="Times New Roman"/>
                <w:color w:val="000000"/>
                <w:sz w:val="24"/>
              </w:rPr>
              <w:t>□</w:t>
            </w:r>
            <w:r w:rsidRPr="002F12EA">
              <w:rPr>
                <w:rFonts w:ascii="Times New Roman" w:eastAsia="宋体" w:hAnsi="Times New Roman" w:cs="Times New Roman"/>
                <w:color w:val="000000"/>
                <w:sz w:val="24"/>
              </w:rPr>
              <w:t>分析师会议</w:t>
            </w:r>
          </w:p>
          <w:p w:rsidR="00D922C8" w:rsidRPr="002F12EA" w:rsidRDefault="00AA6C35">
            <w:pPr>
              <w:spacing w:before="0" w:after="0" w:line="360" w:lineRule="auto"/>
              <w:rPr>
                <w:rFonts w:ascii="Times New Roman" w:hAnsi="Times New Roman" w:cs="Times New Roman"/>
              </w:rPr>
            </w:pPr>
            <w:r w:rsidRPr="002F12EA">
              <w:rPr>
                <w:rFonts w:ascii="Times New Roman" w:eastAsia="宋体" w:hAnsi="Times New Roman" w:cs="Times New Roman"/>
                <w:color w:val="000000"/>
                <w:sz w:val="24"/>
              </w:rPr>
              <w:t>□</w:t>
            </w:r>
            <w:r w:rsidRPr="002F12EA">
              <w:rPr>
                <w:rFonts w:ascii="Times New Roman" w:eastAsia="宋体" w:hAnsi="Times New Roman" w:cs="Times New Roman"/>
                <w:color w:val="000000"/>
                <w:sz w:val="24"/>
              </w:rPr>
              <w:t>媒体采访</w:t>
            </w:r>
            <w:r w:rsidRPr="002F12EA">
              <w:rPr>
                <w:rFonts w:ascii="Times New Roman" w:eastAsia="宋体" w:hAnsi="Times New Roman" w:cs="Times New Roman"/>
                <w:color w:val="000000"/>
                <w:sz w:val="24"/>
              </w:rPr>
              <w:t>□</w:t>
            </w:r>
            <w:r w:rsidRPr="002F12EA">
              <w:rPr>
                <w:rFonts w:ascii="Times New Roman" w:eastAsia="宋体" w:hAnsi="Times New Roman" w:cs="Times New Roman"/>
                <w:color w:val="000000"/>
                <w:sz w:val="24"/>
              </w:rPr>
              <w:t>业绩说明会</w:t>
            </w:r>
          </w:p>
          <w:p w:rsidR="00D922C8" w:rsidRPr="002F12EA" w:rsidRDefault="00AA6C35">
            <w:pPr>
              <w:spacing w:before="0" w:after="0" w:line="360" w:lineRule="auto"/>
              <w:rPr>
                <w:rFonts w:ascii="Times New Roman" w:hAnsi="Times New Roman" w:cs="Times New Roman"/>
              </w:rPr>
            </w:pPr>
            <w:r w:rsidRPr="002F12EA">
              <w:rPr>
                <w:rFonts w:ascii="Times New Roman" w:eastAsia="宋体" w:hAnsi="Times New Roman" w:cs="Times New Roman"/>
                <w:color w:val="000000"/>
                <w:sz w:val="24"/>
              </w:rPr>
              <w:t>□</w:t>
            </w:r>
            <w:r w:rsidRPr="002F12EA">
              <w:rPr>
                <w:rFonts w:ascii="Times New Roman" w:eastAsia="宋体" w:hAnsi="Times New Roman" w:cs="Times New Roman"/>
                <w:color w:val="000000"/>
                <w:sz w:val="24"/>
              </w:rPr>
              <w:t>新闻发布会</w:t>
            </w:r>
            <w:r w:rsidRPr="002F12EA">
              <w:rPr>
                <w:rFonts w:ascii="Times New Roman" w:eastAsia="宋体" w:hAnsi="Times New Roman" w:cs="Times New Roman"/>
                <w:color w:val="000000"/>
                <w:sz w:val="24"/>
              </w:rPr>
              <w:t>□</w:t>
            </w:r>
            <w:r w:rsidRPr="002F12EA">
              <w:rPr>
                <w:rFonts w:ascii="Times New Roman" w:eastAsia="宋体" w:hAnsi="Times New Roman" w:cs="Times New Roman"/>
                <w:color w:val="000000"/>
                <w:sz w:val="24"/>
              </w:rPr>
              <w:t>路演活动</w:t>
            </w:r>
          </w:p>
          <w:p w:rsidR="00D922C8" w:rsidRPr="002F12EA" w:rsidRDefault="00AA6C35">
            <w:pPr>
              <w:spacing w:before="0" w:after="0" w:line="360" w:lineRule="auto"/>
              <w:rPr>
                <w:rFonts w:ascii="Times New Roman" w:hAnsi="Times New Roman" w:cs="Times New Roman"/>
              </w:rPr>
            </w:pPr>
            <w:r w:rsidRPr="002F12EA">
              <w:rPr>
                <w:rFonts w:ascii="Times New Roman" w:eastAsia="宋体" w:hAnsi="Times New Roman" w:cs="Times New Roman"/>
                <w:color w:val="000000"/>
                <w:sz w:val="24"/>
              </w:rPr>
              <w:t>□</w:t>
            </w:r>
            <w:r w:rsidRPr="002F12EA">
              <w:rPr>
                <w:rFonts w:ascii="Times New Roman" w:eastAsia="宋体" w:hAnsi="Times New Roman" w:cs="Times New Roman"/>
                <w:color w:val="000000"/>
                <w:sz w:val="24"/>
              </w:rPr>
              <w:t>现场参观</w:t>
            </w:r>
            <w:r w:rsidRPr="002F12EA">
              <w:rPr>
                <w:rFonts w:ascii="Times New Roman" w:eastAsia="宋体" w:hAnsi="Times New Roman" w:cs="Times New Roman"/>
                <w:color w:val="000000"/>
                <w:sz w:val="24"/>
              </w:rPr>
              <w:t>□</w:t>
            </w:r>
            <w:r w:rsidRPr="002F12EA">
              <w:rPr>
                <w:rFonts w:ascii="Times New Roman" w:eastAsia="宋体" w:hAnsi="Times New Roman" w:cs="Times New Roman"/>
                <w:color w:val="000000"/>
                <w:sz w:val="24"/>
              </w:rPr>
              <w:t>一对一沟通</w:t>
            </w:r>
          </w:p>
          <w:p w:rsidR="00D922C8" w:rsidRPr="002F12EA" w:rsidRDefault="00AA6C35">
            <w:pPr>
              <w:spacing w:before="0" w:after="0" w:line="360" w:lineRule="auto"/>
              <w:rPr>
                <w:rFonts w:ascii="Times New Roman" w:hAnsi="Times New Roman" w:cs="Times New Roman"/>
              </w:rPr>
            </w:pPr>
            <w:r w:rsidRPr="002F12EA">
              <w:rPr>
                <w:rFonts w:ascii="Times New Roman" w:eastAsia="宋体" w:hAnsi="Times New Roman" w:cs="Times New Roman"/>
                <w:color w:val="000000"/>
                <w:sz w:val="24"/>
              </w:rPr>
              <w:t>□</w:t>
            </w:r>
            <w:r w:rsidRPr="002F12EA">
              <w:rPr>
                <w:rFonts w:ascii="Times New Roman" w:eastAsia="宋体" w:hAnsi="Times New Roman" w:cs="Times New Roman"/>
                <w:color w:val="000000"/>
                <w:sz w:val="24"/>
              </w:rPr>
              <w:t>券商策略会</w:t>
            </w:r>
            <w:r w:rsidRPr="002F12EA">
              <w:rPr>
                <w:rFonts w:ascii="Times New Roman" w:eastAsia="宋体" w:hAnsi="Times New Roman" w:cs="Times New Roman"/>
                <w:color w:val="000000"/>
                <w:sz w:val="24"/>
              </w:rPr>
              <w:t>■</w:t>
            </w:r>
            <w:r w:rsidRPr="002F12EA">
              <w:rPr>
                <w:rFonts w:ascii="Times New Roman" w:eastAsia="宋体" w:hAnsi="Times New Roman" w:cs="Times New Roman"/>
                <w:color w:val="000000"/>
                <w:sz w:val="24"/>
              </w:rPr>
              <w:t>其他</w:t>
            </w:r>
            <w:r w:rsidR="00805AA8" w:rsidRPr="002F12EA">
              <w:rPr>
                <w:rFonts w:ascii="Times New Roman" w:eastAsia="宋体" w:hAnsi="Times New Roman" w:cs="Times New Roman"/>
                <w:color w:val="000000"/>
                <w:sz w:val="24"/>
                <w:u w:val="single"/>
              </w:rPr>
              <w:t>投资人交流会</w:t>
            </w:r>
          </w:p>
        </w:tc>
      </w:tr>
      <w:tr w:rsidR="00D922C8" w:rsidRPr="002F12EA">
        <w:trPr>
          <w:trHeight w:val="677"/>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D922C8" w:rsidRPr="002F12EA" w:rsidRDefault="00AA6C35">
            <w:pPr>
              <w:spacing w:before="0" w:after="0" w:line="360" w:lineRule="auto"/>
              <w:ind w:right="108"/>
              <w:jc w:val="center"/>
              <w:rPr>
                <w:rFonts w:ascii="Times New Roman" w:hAnsi="Times New Roman" w:cs="Times New Roman"/>
              </w:rPr>
            </w:pPr>
            <w:r w:rsidRPr="002F12EA">
              <w:rPr>
                <w:rFonts w:ascii="Times New Roman" w:eastAsia="宋体" w:hAnsi="Times New Roman" w:cs="Times New Roman"/>
                <w:b/>
                <w:color w:val="000000"/>
                <w:sz w:val="24"/>
              </w:rPr>
              <w:t>参与单位及人员</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rsidR="00D922C8" w:rsidRPr="002F12EA" w:rsidRDefault="00AA6C35">
            <w:pPr>
              <w:spacing w:before="0" w:after="0" w:line="360" w:lineRule="auto"/>
              <w:jc w:val="both"/>
              <w:rPr>
                <w:rFonts w:ascii="Times New Roman" w:hAnsi="Times New Roman" w:cs="Times New Roman"/>
              </w:rPr>
            </w:pPr>
            <w:r w:rsidRPr="002F12EA">
              <w:rPr>
                <w:rFonts w:ascii="Times New Roman" w:eastAsia="宋体" w:hAnsi="Times New Roman" w:cs="Times New Roman"/>
                <w:color w:val="000000"/>
                <w:sz w:val="24"/>
              </w:rPr>
              <w:t>共</w:t>
            </w:r>
            <w:r w:rsidRPr="002F12EA">
              <w:rPr>
                <w:rFonts w:ascii="Times New Roman" w:eastAsia="宋体" w:hAnsi="Times New Roman" w:cs="Times New Roman"/>
                <w:color w:val="000000"/>
                <w:sz w:val="24"/>
              </w:rPr>
              <w:t>1</w:t>
            </w:r>
            <w:r w:rsidR="0003562B" w:rsidRPr="002F12EA">
              <w:rPr>
                <w:rFonts w:ascii="Times New Roman" w:eastAsia="宋体" w:hAnsi="Times New Roman" w:cs="Times New Roman"/>
                <w:color w:val="000000"/>
                <w:sz w:val="24"/>
              </w:rPr>
              <w:t>46</w:t>
            </w:r>
            <w:r w:rsidRPr="002F12EA">
              <w:rPr>
                <w:rFonts w:ascii="Times New Roman" w:eastAsia="宋体" w:hAnsi="Times New Roman" w:cs="Times New Roman"/>
                <w:color w:val="000000"/>
                <w:sz w:val="24"/>
              </w:rPr>
              <w:t>位机构投资者，详见附件</w:t>
            </w:r>
          </w:p>
        </w:tc>
      </w:tr>
      <w:tr w:rsidR="00D922C8" w:rsidRPr="002F12EA" w:rsidTr="00DA7D3B">
        <w:trPr>
          <w:trHeight w:val="427"/>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D922C8" w:rsidRPr="002F12EA" w:rsidRDefault="00AA6C35" w:rsidP="00DA7D3B">
            <w:pPr>
              <w:spacing w:before="0" w:after="0" w:line="360" w:lineRule="auto"/>
              <w:ind w:right="108"/>
              <w:rPr>
                <w:rFonts w:ascii="Times New Roman" w:hAnsi="Times New Roman" w:cs="Times New Roman"/>
              </w:rPr>
            </w:pPr>
            <w:r w:rsidRPr="002F12EA">
              <w:rPr>
                <w:rFonts w:ascii="Times New Roman" w:eastAsia="宋体" w:hAnsi="Times New Roman" w:cs="Times New Roman"/>
                <w:b/>
                <w:color w:val="000000"/>
                <w:sz w:val="24"/>
              </w:rPr>
              <w:t>时间</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rsidR="00D922C8" w:rsidRPr="002F12EA" w:rsidRDefault="00AA6C35" w:rsidP="00DA7D3B">
            <w:pPr>
              <w:spacing w:before="0" w:after="0" w:line="360" w:lineRule="auto"/>
              <w:rPr>
                <w:rFonts w:ascii="Times New Roman" w:hAnsi="Times New Roman" w:cs="Times New Roman"/>
              </w:rPr>
            </w:pPr>
            <w:r w:rsidRPr="002F12EA">
              <w:rPr>
                <w:rFonts w:ascii="Times New Roman" w:eastAsia="宋体" w:hAnsi="Times New Roman" w:cs="Times New Roman"/>
                <w:color w:val="000000"/>
                <w:sz w:val="24"/>
              </w:rPr>
              <w:t>2025</w:t>
            </w:r>
            <w:r w:rsidRPr="002F12EA">
              <w:rPr>
                <w:rFonts w:ascii="Times New Roman" w:eastAsia="宋体" w:hAnsi="Times New Roman" w:cs="Times New Roman"/>
                <w:color w:val="000000"/>
                <w:sz w:val="24"/>
              </w:rPr>
              <w:t>年</w:t>
            </w:r>
            <w:r w:rsidR="00E92F29" w:rsidRPr="002F12EA">
              <w:rPr>
                <w:rFonts w:ascii="Times New Roman" w:eastAsia="宋体" w:hAnsi="Times New Roman" w:cs="Times New Roman"/>
                <w:color w:val="000000"/>
                <w:sz w:val="24"/>
              </w:rPr>
              <w:t>11</w:t>
            </w:r>
            <w:r w:rsidRPr="002F12EA">
              <w:rPr>
                <w:rFonts w:ascii="Times New Roman" w:eastAsia="宋体" w:hAnsi="Times New Roman" w:cs="Times New Roman"/>
                <w:color w:val="000000"/>
                <w:sz w:val="24"/>
              </w:rPr>
              <w:t>月</w:t>
            </w:r>
            <w:r w:rsidRPr="002F12EA">
              <w:rPr>
                <w:rFonts w:ascii="Times New Roman" w:eastAsia="宋体" w:hAnsi="Times New Roman" w:cs="Times New Roman"/>
                <w:color w:val="000000"/>
                <w:sz w:val="24"/>
              </w:rPr>
              <w:t>17</w:t>
            </w:r>
            <w:r w:rsidRPr="002F12EA">
              <w:rPr>
                <w:rFonts w:ascii="Times New Roman" w:eastAsia="宋体" w:hAnsi="Times New Roman" w:cs="Times New Roman"/>
                <w:color w:val="000000"/>
                <w:sz w:val="24"/>
              </w:rPr>
              <w:t>日</w:t>
            </w:r>
          </w:p>
        </w:tc>
      </w:tr>
      <w:tr w:rsidR="00D922C8" w:rsidRPr="002F12EA">
        <w:trPr>
          <w:trHeight w:val="703"/>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D922C8" w:rsidRPr="002F12EA" w:rsidRDefault="00AA6C35" w:rsidP="00DA7D3B">
            <w:pPr>
              <w:spacing w:before="0" w:after="0" w:line="360" w:lineRule="auto"/>
              <w:ind w:right="108"/>
              <w:rPr>
                <w:rFonts w:ascii="Times New Roman" w:hAnsi="Times New Roman" w:cs="Times New Roman"/>
              </w:rPr>
            </w:pPr>
            <w:r w:rsidRPr="002F12EA">
              <w:rPr>
                <w:rFonts w:ascii="Times New Roman" w:eastAsia="宋体" w:hAnsi="Times New Roman" w:cs="Times New Roman"/>
                <w:b/>
                <w:color w:val="000000"/>
                <w:sz w:val="24"/>
              </w:rPr>
              <w:t>地点</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rsidR="00D922C8" w:rsidRPr="002F12EA" w:rsidRDefault="00E92F29" w:rsidP="00DA7D3B">
            <w:pPr>
              <w:spacing w:before="0" w:after="0" w:line="360" w:lineRule="auto"/>
              <w:rPr>
                <w:rFonts w:ascii="Times New Roman" w:hAnsi="Times New Roman" w:cs="Times New Roman"/>
              </w:rPr>
            </w:pPr>
            <w:r w:rsidRPr="002F12EA">
              <w:rPr>
                <w:rFonts w:ascii="Times New Roman" w:eastAsia="宋体" w:hAnsi="Times New Roman" w:cs="Times New Roman"/>
                <w:color w:val="000000"/>
                <w:sz w:val="24"/>
              </w:rPr>
              <w:t>深圳星河丽思卡尔顿酒店</w:t>
            </w:r>
            <w:r w:rsidRPr="002F12EA">
              <w:rPr>
                <w:rFonts w:ascii="Times New Roman" w:eastAsia="宋体" w:hAnsi="Times New Roman" w:cs="Times New Roman"/>
                <w:color w:val="000000"/>
                <w:sz w:val="24"/>
              </w:rPr>
              <w:t xml:space="preserve"> </w:t>
            </w:r>
            <w:r w:rsidRPr="002F12EA">
              <w:rPr>
                <w:rFonts w:ascii="Times New Roman" w:eastAsia="宋体" w:hAnsi="Times New Roman" w:cs="Times New Roman"/>
                <w:color w:val="000000"/>
                <w:sz w:val="24"/>
              </w:rPr>
              <w:t>三楼大宴会厅</w:t>
            </w:r>
            <w:r w:rsidRPr="002F12EA">
              <w:rPr>
                <w:rFonts w:ascii="Times New Roman" w:eastAsia="宋体" w:hAnsi="Times New Roman" w:cs="Times New Roman"/>
                <w:color w:val="000000"/>
                <w:sz w:val="24"/>
              </w:rPr>
              <w:t>1</w:t>
            </w:r>
          </w:p>
        </w:tc>
      </w:tr>
      <w:tr w:rsidR="00D922C8" w:rsidRPr="002F12EA">
        <w:trPr>
          <w:trHeight w:val="679"/>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D922C8" w:rsidRPr="002F12EA" w:rsidRDefault="00AA6C35">
            <w:pPr>
              <w:spacing w:before="0" w:after="0" w:line="360" w:lineRule="auto"/>
              <w:ind w:right="108"/>
              <w:jc w:val="center"/>
              <w:rPr>
                <w:rFonts w:ascii="Times New Roman" w:hAnsi="Times New Roman" w:cs="Times New Roman"/>
              </w:rPr>
            </w:pPr>
            <w:r w:rsidRPr="002F12EA">
              <w:rPr>
                <w:rFonts w:ascii="Times New Roman" w:eastAsia="宋体" w:hAnsi="Times New Roman" w:cs="Times New Roman"/>
                <w:b/>
                <w:color w:val="000000"/>
                <w:sz w:val="24"/>
              </w:rPr>
              <w:t>接待人员</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rsidR="00D922C8" w:rsidRPr="002F12EA" w:rsidRDefault="00E92F29" w:rsidP="005716C6">
            <w:pPr>
              <w:spacing w:before="0" w:after="0" w:line="360" w:lineRule="auto"/>
              <w:jc w:val="both"/>
              <w:rPr>
                <w:rFonts w:ascii="Times New Roman" w:hAnsi="Times New Roman" w:cs="Times New Roman"/>
              </w:rPr>
            </w:pPr>
            <w:r w:rsidRPr="002F12EA">
              <w:rPr>
                <w:rFonts w:ascii="Times New Roman" w:eastAsia="宋体" w:hAnsi="Times New Roman" w:cs="Times New Roman"/>
                <w:color w:val="000000"/>
                <w:sz w:val="24"/>
              </w:rPr>
              <w:t>董事长兼总裁白厚善、副总裁叶飞，副总裁佘圣贤、总裁助理袁徐俊</w:t>
            </w:r>
            <w:bookmarkStart w:id="0" w:name="_GoBack"/>
            <w:bookmarkEnd w:id="0"/>
            <w:r w:rsidRPr="002F12EA">
              <w:rPr>
                <w:rFonts w:ascii="Times New Roman" w:eastAsia="宋体" w:hAnsi="Times New Roman" w:cs="Times New Roman"/>
                <w:color w:val="000000"/>
                <w:sz w:val="24"/>
              </w:rPr>
              <w:t>、钠电事业部总经理王尊志</w:t>
            </w:r>
            <w:r w:rsidR="00AA6C35" w:rsidRPr="002F12EA">
              <w:rPr>
                <w:rFonts w:ascii="Times New Roman" w:eastAsia="宋体" w:hAnsi="Times New Roman" w:cs="Times New Roman"/>
                <w:color w:val="000000"/>
                <w:sz w:val="24"/>
              </w:rPr>
              <w:t>、董事会秘书俞济芸</w:t>
            </w:r>
          </w:p>
        </w:tc>
      </w:tr>
      <w:tr w:rsidR="00D922C8" w:rsidRPr="002F12EA">
        <w:trPr>
          <w:trHeight w:val="679"/>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D922C8" w:rsidRPr="002F12EA" w:rsidRDefault="00AA6C35">
            <w:pPr>
              <w:spacing w:before="0" w:after="0" w:line="360" w:lineRule="auto"/>
              <w:ind w:right="108"/>
              <w:jc w:val="center"/>
              <w:rPr>
                <w:rFonts w:ascii="Times New Roman" w:hAnsi="Times New Roman" w:cs="Times New Roman"/>
              </w:rPr>
            </w:pPr>
            <w:r w:rsidRPr="002F12EA">
              <w:rPr>
                <w:rFonts w:ascii="Times New Roman" w:eastAsia="宋体" w:hAnsi="Times New Roman" w:cs="Times New Roman"/>
                <w:b/>
                <w:color w:val="000000"/>
                <w:sz w:val="24"/>
              </w:rPr>
              <w:t>核心要点</w:t>
            </w:r>
          </w:p>
          <w:p w:rsidR="00D922C8" w:rsidRPr="002F12EA" w:rsidRDefault="00AA6C35">
            <w:pPr>
              <w:spacing w:before="0" w:after="0" w:line="360" w:lineRule="auto"/>
              <w:ind w:right="108"/>
              <w:jc w:val="center"/>
              <w:rPr>
                <w:rFonts w:ascii="Times New Roman" w:hAnsi="Times New Roman" w:cs="Times New Roman"/>
              </w:rPr>
            </w:pPr>
            <w:r w:rsidRPr="002F12EA">
              <w:rPr>
                <w:rFonts w:ascii="Times New Roman" w:eastAsia="宋体" w:hAnsi="Times New Roman" w:cs="Times New Roman"/>
                <w:b/>
                <w:color w:val="000000"/>
                <w:sz w:val="24"/>
              </w:rPr>
              <w:t>说明</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rsidR="0003562B" w:rsidRPr="002F12EA" w:rsidRDefault="0003562B" w:rsidP="0003562B">
            <w:pPr>
              <w:snapToGrid/>
              <w:spacing w:before="0" w:after="0" w:line="360" w:lineRule="auto"/>
              <w:ind w:firstLineChars="200" w:firstLine="480"/>
              <w:jc w:val="both"/>
              <w:rPr>
                <w:rFonts w:ascii="Times New Roman" w:eastAsia="宋体" w:hAnsi="Times New Roman" w:cs="Times New Roman"/>
                <w:sz w:val="24"/>
                <w:szCs w:val="24"/>
              </w:rPr>
            </w:pPr>
            <w:r w:rsidRPr="002F12EA">
              <w:rPr>
                <w:rFonts w:ascii="Times New Roman" w:eastAsia="宋体" w:hAnsi="Times New Roman" w:cs="Times New Roman"/>
                <w:sz w:val="24"/>
                <w:szCs w:val="24"/>
              </w:rPr>
              <w:t>公司坚定推进新一体化战略，已经成为了一个全球化的动力与储能领域全场景覆盖的正极材料综合解决方案提供商，完成了由三元正极材料龙头向全球领先的新能源材料平台公司转型。钠离子电池材料作为公司重点布局的新兴赛道，其技术研发、产品矩阵、产能规划及客户合作均取得显著突破，为公司新兴业务增长奠定坚实基础。</w:t>
            </w:r>
          </w:p>
          <w:p w:rsidR="0003562B" w:rsidRPr="002F12EA" w:rsidRDefault="0003562B" w:rsidP="0003562B">
            <w:pPr>
              <w:snapToGrid/>
              <w:spacing w:before="0" w:after="0" w:line="360" w:lineRule="auto"/>
              <w:ind w:firstLineChars="200" w:firstLine="480"/>
              <w:jc w:val="both"/>
              <w:rPr>
                <w:rFonts w:ascii="Times New Roman" w:eastAsia="宋体" w:hAnsi="Times New Roman" w:cs="Times New Roman"/>
                <w:sz w:val="24"/>
                <w:szCs w:val="24"/>
              </w:rPr>
            </w:pPr>
            <w:r w:rsidRPr="002F12EA">
              <w:rPr>
                <w:rFonts w:ascii="Times New Roman" w:eastAsia="宋体" w:hAnsi="Times New Roman" w:cs="Times New Roman"/>
                <w:sz w:val="24"/>
                <w:szCs w:val="24"/>
              </w:rPr>
              <w:t>公司钠电业务核心团队具备高知化、年轻化、专业化优势。现有产品矩阵完整，覆盖聚阴离子与层状氧化物两大主流技术路线，并均已实现量产。钠电材料凭借其高安全性、宽温域作业、低成本、资源丰富、生产兼容性好以及卓越的快充和倍率性能，在动力、储能、启停、小动力等市场具备广阔应用前景。公司认为，钠电新兴技术的发展并非对原有锂电市场的替代，而是共同做大新能源市场，覆盖更加多元化的市场</w:t>
            </w:r>
            <w:r w:rsidRPr="002F12EA">
              <w:rPr>
                <w:rFonts w:ascii="Times New Roman" w:eastAsia="宋体" w:hAnsi="Times New Roman" w:cs="Times New Roman"/>
                <w:sz w:val="24"/>
                <w:szCs w:val="24"/>
              </w:rPr>
              <w:lastRenderedPageBreak/>
              <w:t>需求。</w:t>
            </w:r>
          </w:p>
          <w:p w:rsidR="0003562B" w:rsidRPr="002F12EA" w:rsidRDefault="0003562B" w:rsidP="0003562B">
            <w:pPr>
              <w:snapToGrid/>
              <w:spacing w:before="0" w:after="0" w:line="360" w:lineRule="auto"/>
              <w:ind w:firstLineChars="200" w:firstLine="480"/>
              <w:jc w:val="both"/>
              <w:rPr>
                <w:rFonts w:ascii="Times New Roman" w:eastAsia="宋体" w:hAnsi="Times New Roman" w:cs="Times New Roman"/>
                <w:sz w:val="24"/>
                <w:szCs w:val="24"/>
              </w:rPr>
            </w:pPr>
            <w:r w:rsidRPr="002F12EA">
              <w:rPr>
                <w:rFonts w:ascii="Times New Roman" w:eastAsia="宋体" w:hAnsi="Times New Roman" w:cs="Times New Roman"/>
                <w:sz w:val="24"/>
                <w:szCs w:val="24"/>
              </w:rPr>
              <w:t>公司已构建独特的钠电商业画布，钠电产品全面布局，技术储备充分领先；自主设计适配钠电的专用产线，通过新工艺新设备的应用，降低加工成本；钠电材料再生窗口宽、无贵金属，再生循环解决方案具备显著经济与环境效益；公司在钠电拥有领先且完善的核心知识产权布局。</w:t>
            </w:r>
          </w:p>
          <w:p w:rsidR="0003562B" w:rsidRPr="002F12EA" w:rsidRDefault="0003562B" w:rsidP="0003562B">
            <w:pPr>
              <w:snapToGrid/>
              <w:spacing w:before="0" w:after="0" w:line="360" w:lineRule="auto"/>
              <w:ind w:firstLineChars="200" w:firstLine="480"/>
              <w:jc w:val="both"/>
              <w:rPr>
                <w:rFonts w:ascii="Times New Roman" w:eastAsia="宋体" w:hAnsi="Times New Roman" w:cs="Times New Roman"/>
                <w:sz w:val="24"/>
                <w:szCs w:val="24"/>
              </w:rPr>
            </w:pPr>
            <w:r w:rsidRPr="002F12EA">
              <w:rPr>
                <w:rFonts w:ascii="Times New Roman" w:eastAsia="宋体" w:hAnsi="Times New Roman" w:cs="Times New Roman"/>
                <w:sz w:val="24"/>
                <w:szCs w:val="24"/>
              </w:rPr>
              <w:t>产能建设方面，公司于</w:t>
            </w:r>
            <w:r w:rsidRPr="002F12EA">
              <w:rPr>
                <w:rFonts w:ascii="Times New Roman" w:eastAsia="宋体" w:hAnsi="Times New Roman" w:cs="Times New Roman"/>
                <w:sz w:val="24"/>
                <w:szCs w:val="24"/>
              </w:rPr>
              <w:t>2025</w:t>
            </w:r>
            <w:r w:rsidRPr="002F12EA">
              <w:rPr>
                <w:rFonts w:ascii="Times New Roman" w:eastAsia="宋体" w:hAnsi="Times New Roman" w:cs="Times New Roman"/>
                <w:sz w:val="24"/>
                <w:szCs w:val="24"/>
              </w:rPr>
              <w:t>年在仙桃建成</w:t>
            </w:r>
            <w:r w:rsidRPr="002F12EA">
              <w:rPr>
                <w:rFonts w:ascii="Times New Roman" w:eastAsia="宋体" w:hAnsi="Times New Roman" w:cs="Times New Roman"/>
                <w:sz w:val="24"/>
                <w:szCs w:val="24"/>
              </w:rPr>
              <w:t>6000</w:t>
            </w:r>
            <w:r w:rsidRPr="002F12EA">
              <w:rPr>
                <w:rFonts w:ascii="Times New Roman" w:eastAsia="宋体" w:hAnsi="Times New Roman" w:cs="Times New Roman"/>
                <w:sz w:val="24"/>
                <w:szCs w:val="24"/>
              </w:rPr>
              <w:t>吨中试线，以验证新工艺与新设备；</w:t>
            </w:r>
            <w:r w:rsidRPr="002F12EA">
              <w:rPr>
                <w:rFonts w:ascii="Times New Roman" w:eastAsia="宋体" w:hAnsi="Times New Roman" w:cs="Times New Roman"/>
                <w:sz w:val="24"/>
                <w:szCs w:val="24"/>
              </w:rPr>
              <w:t>2026</w:t>
            </w:r>
            <w:r w:rsidRPr="002F12EA">
              <w:rPr>
                <w:rFonts w:ascii="Times New Roman" w:eastAsia="宋体" w:hAnsi="Times New Roman" w:cs="Times New Roman"/>
                <w:sz w:val="24"/>
                <w:szCs w:val="24"/>
              </w:rPr>
              <w:t>年预计通过改造与并购实现</w:t>
            </w:r>
            <w:r w:rsidRPr="002F12EA">
              <w:rPr>
                <w:rFonts w:ascii="Times New Roman" w:eastAsia="宋体" w:hAnsi="Times New Roman" w:cs="Times New Roman"/>
                <w:sz w:val="24"/>
                <w:szCs w:val="24"/>
              </w:rPr>
              <w:t>5</w:t>
            </w:r>
            <w:r w:rsidRPr="002F12EA">
              <w:rPr>
                <w:rFonts w:ascii="Times New Roman" w:eastAsia="宋体" w:hAnsi="Times New Roman" w:cs="Times New Roman"/>
                <w:sz w:val="24"/>
                <w:szCs w:val="24"/>
              </w:rPr>
              <w:t>万吨钠电产能，并新建</w:t>
            </w:r>
            <w:r w:rsidRPr="002F12EA">
              <w:rPr>
                <w:rFonts w:ascii="Times New Roman" w:eastAsia="宋体" w:hAnsi="Times New Roman" w:cs="Times New Roman"/>
                <w:sz w:val="24"/>
                <w:szCs w:val="24"/>
              </w:rPr>
              <w:t>5-10</w:t>
            </w:r>
            <w:r w:rsidRPr="002F12EA">
              <w:rPr>
                <w:rFonts w:ascii="Times New Roman" w:eastAsia="宋体" w:hAnsi="Times New Roman" w:cs="Times New Roman"/>
                <w:sz w:val="24"/>
                <w:szCs w:val="24"/>
              </w:rPr>
              <w:t>万吨完全适配钠电的新产线。展望</w:t>
            </w:r>
            <w:r w:rsidRPr="002F12EA">
              <w:rPr>
                <w:rFonts w:ascii="Times New Roman" w:eastAsia="宋体" w:hAnsi="Times New Roman" w:cs="Times New Roman"/>
                <w:sz w:val="24"/>
                <w:szCs w:val="24"/>
              </w:rPr>
              <w:t>2030</w:t>
            </w:r>
            <w:r w:rsidRPr="002F12EA">
              <w:rPr>
                <w:rFonts w:ascii="Times New Roman" w:eastAsia="宋体" w:hAnsi="Times New Roman" w:cs="Times New Roman"/>
                <w:sz w:val="24"/>
                <w:szCs w:val="24"/>
              </w:rPr>
              <w:t>年，公司目标实现百万吨级钠电材料产能，并于</w:t>
            </w:r>
            <w:r w:rsidRPr="002F12EA">
              <w:rPr>
                <w:rFonts w:ascii="Times New Roman" w:eastAsia="宋体" w:hAnsi="Times New Roman" w:cs="Times New Roman"/>
                <w:sz w:val="24"/>
                <w:szCs w:val="24"/>
              </w:rPr>
              <w:t>2029</w:t>
            </w:r>
            <w:r w:rsidRPr="002F12EA">
              <w:rPr>
                <w:rFonts w:ascii="Times New Roman" w:eastAsia="宋体" w:hAnsi="Times New Roman" w:cs="Times New Roman"/>
                <w:sz w:val="24"/>
                <w:szCs w:val="24"/>
              </w:rPr>
              <w:t>年开始在北美、欧洲等海外市场布局产线，实现钠电全球本土化供应。</w:t>
            </w:r>
          </w:p>
          <w:p w:rsidR="00D922C8" w:rsidRPr="002F12EA" w:rsidRDefault="0003562B" w:rsidP="0003562B">
            <w:pPr>
              <w:snapToGrid/>
              <w:spacing w:before="0" w:after="0" w:line="360" w:lineRule="auto"/>
              <w:ind w:firstLineChars="200" w:firstLine="480"/>
              <w:jc w:val="both"/>
              <w:rPr>
                <w:rFonts w:ascii="Times New Roman" w:eastAsia="宋体" w:hAnsi="Times New Roman" w:cs="Times New Roman"/>
                <w:sz w:val="24"/>
                <w:szCs w:val="24"/>
              </w:rPr>
            </w:pPr>
            <w:r w:rsidRPr="002F12EA">
              <w:rPr>
                <w:rFonts w:ascii="Times New Roman" w:eastAsia="宋体" w:hAnsi="Times New Roman" w:cs="Times New Roman"/>
                <w:sz w:val="24"/>
                <w:szCs w:val="24"/>
              </w:rPr>
              <w:t>未来五年，在</w:t>
            </w:r>
            <w:r w:rsidRPr="002F12EA">
              <w:rPr>
                <w:rFonts w:ascii="Times New Roman" w:eastAsia="宋体" w:hAnsi="Times New Roman" w:cs="Times New Roman"/>
                <w:sz w:val="24"/>
                <w:szCs w:val="24"/>
              </w:rPr>
              <w:t>AI</w:t>
            </w:r>
            <w:r w:rsidRPr="002F12EA">
              <w:rPr>
                <w:rFonts w:ascii="Times New Roman" w:eastAsia="宋体" w:hAnsi="Times New Roman" w:cs="Times New Roman"/>
                <w:sz w:val="24"/>
                <w:szCs w:val="24"/>
              </w:rPr>
              <w:t>发展带动智能电网、波动性可再生能源使用激增的背景下，储能市场将迎来新一轮需求爆发，公司钠电产品凭借其在动力与储能领域的双重适用性，有望从中获得较大的增量机会。</w:t>
            </w:r>
          </w:p>
        </w:tc>
      </w:tr>
      <w:tr w:rsidR="00D922C8" w:rsidRPr="002F12EA">
        <w:trPr>
          <w:trHeight w:val="1540"/>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D922C8" w:rsidRPr="002F12EA" w:rsidRDefault="00AA6C35">
            <w:pPr>
              <w:spacing w:before="0" w:after="0" w:line="360" w:lineRule="auto"/>
              <w:ind w:right="110"/>
              <w:jc w:val="center"/>
              <w:rPr>
                <w:rFonts w:ascii="Times New Roman" w:hAnsi="Times New Roman" w:cs="Times New Roman"/>
              </w:rPr>
            </w:pPr>
            <w:r w:rsidRPr="002F12EA">
              <w:rPr>
                <w:rFonts w:ascii="Times New Roman" w:eastAsia="宋体" w:hAnsi="Times New Roman" w:cs="Times New Roman"/>
                <w:b/>
                <w:color w:val="000000"/>
                <w:sz w:val="24"/>
              </w:rPr>
              <w:lastRenderedPageBreak/>
              <w:t>投资者关系活动主要内容介绍</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vAlign w:val="top"/>
          </w:tcPr>
          <w:p w:rsidR="0003562B" w:rsidRPr="002F12EA" w:rsidRDefault="0003562B" w:rsidP="0003562B">
            <w:pPr>
              <w:snapToGrid/>
              <w:spacing w:before="0" w:after="0" w:line="360" w:lineRule="auto"/>
              <w:jc w:val="both"/>
              <w:rPr>
                <w:rFonts w:ascii="Times New Roman" w:eastAsia="宋体" w:hAnsi="Times New Roman" w:cs="Times New Roman"/>
                <w:b/>
                <w:bCs/>
                <w:color w:val="000000"/>
                <w:sz w:val="24"/>
              </w:rPr>
            </w:pPr>
            <w:r w:rsidRPr="002F12EA">
              <w:rPr>
                <w:rFonts w:ascii="Times New Roman" w:eastAsia="宋体" w:hAnsi="Times New Roman" w:cs="Times New Roman"/>
                <w:b/>
                <w:bCs/>
                <w:color w:val="000000"/>
                <w:sz w:val="24"/>
              </w:rPr>
              <w:t>一、公司认为钠电材料在各应用场景前景是怎样的？</w:t>
            </w:r>
          </w:p>
          <w:p w:rsidR="0003562B" w:rsidRPr="002F12EA" w:rsidRDefault="0003562B" w:rsidP="00DA7D3B">
            <w:pPr>
              <w:snapToGrid/>
              <w:spacing w:before="0" w:after="0" w:line="360" w:lineRule="auto"/>
              <w:ind w:firstLineChars="200" w:firstLine="480"/>
              <w:jc w:val="both"/>
              <w:rPr>
                <w:rFonts w:ascii="Times New Roman" w:eastAsia="宋体" w:hAnsi="Times New Roman" w:cs="Times New Roman"/>
                <w:bCs/>
                <w:color w:val="000000"/>
                <w:sz w:val="24"/>
              </w:rPr>
            </w:pPr>
            <w:r w:rsidRPr="002F12EA">
              <w:rPr>
                <w:rFonts w:ascii="Times New Roman" w:eastAsia="宋体" w:hAnsi="Times New Roman" w:cs="Times New Roman"/>
                <w:bCs/>
                <w:color w:val="000000"/>
                <w:sz w:val="24"/>
              </w:rPr>
              <w:t>答：钠电材料凭借其高安全性、宽温域作业、低成本、资源丰富、生产兼容性好以及卓越的快充和倍率性能，在动力、储能、启停、小动力等市场具备广阔应用前景，钠电材料的规模化应用是总量市场扩张的概念，</w:t>
            </w:r>
            <w:r w:rsidRPr="002F12EA">
              <w:rPr>
                <w:rFonts w:ascii="Times New Roman" w:eastAsia="宋体" w:hAnsi="Times New Roman" w:cs="Times New Roman"/>
                <w:bCs/>
                <w:color w:val="000000"/>
                <w:sz w:val="24"/>
              </w:rPr>
              <w:t>“</w:t>
            </w:r>
            <w:r w:rsidRPr="002F12EA">
              <w:rPr>
                <w:rFonts w:ascii="Times New Roman" w:eastAsia="宋体" w:hAnsi="Times New Roman" w:cs="Times New Roman"/>
                <w:bCs/>
                <w:color w:val="000000"/>
                <w:sz w:val="24"/>
              </w:rPr>
              <w:t>不是抢蛋糕，而是把蛋糕做大</w:t>
            </w:r>
            <w:r w:rsidRPr="002F12EA">
              <w:rPr>
                <w:rFonts w:ascii="Times New Roman" w:eastAsia="宋体" w:hAnsi="Times New Roman" w:cs="Times New Roman"/>
                <w:bCs/>
                <w:color w:val="000000"/>
                <w:sz w:val="24"/>
              </w:rPr>
              <w:t>”</w:t>
            </w:r>
            <w:r w:rsidRPr="002F12EA">
              <w:rPr>
                <w:rFonts w:ascii="Times New Roman" w:eastAsia="宋体" w:hAnsi="Times New Roman" w:cs="Times New Roman"/>
                <w:bCs/>
                <w:color w:val="000000"/>
                <w:sz w:val="24"/>
              </w:rPr>
              <w:t>。</w:t>
            </w:r>
          </w:p>
          <w:p w:rsidR="0003562B" w:rsidRPr="002F12EA" w:rsidRDefault="0003562B" w:rsidP="0003562B">
            <w:pPr>
              <w:snapToGrid/>
              <w:spacing w:before="0" w:after="0" w:line="360" w:lineRule="auto"/>
              <w:jc w:val="both"/>
              <w:rPr>
                <w:rFonts w:ascii="Times New Roman" w:eastAsia="宋体" w:hAnsi="Times New Roman" w:cs="Times New Roman"/>
                <w:bCs/>
                <w:color w:val="000000"/>
                <w:sz w:val="24"/>
              </w:rPr>
            </w:pPr>
          </w:p>
          <w:p w:rsidR="0003562B" w:rsidRPr="002F12EA" w:rsidRDefault="0003562B" w:rsidP="0003562B">
            <w:pPr>
              <w:snapToGrid/>
              <w:spacing w:before="0" w:after="0" w:line="360" w:lineRule="auto"/>
              <w:jc w:val="both"/>
              <w:rPr>
                <w:rFonts w:ascii="Times New Roman" w:eastAsia="宋体" w:hAnsi="Times New Roman" w:cs="Times New Roman"/>
                <w:b/>
                <w:bCs/>
                <w:color w:val="000000"/>
                <w:sz w:val="24"/>
              </w:rPr>
            </w:pPr>
            <w:r w:rsidRPr="002F12EA">
              <w:rPr>
                <w:rFonts w:ascii="Times New Roman" w:eastAsia="宋体" w:hAnsi="Times New Roman" w:cs="Times New Roman"/>
                <w:b/>
                <w:bCs/>
                <w:color w:val="000000"/>
                <w:sz w:val="24"/>
              </w:rPr>
              <w:t>二、目前钠电与磷酸铁锂的成本情况对比？</w:t>
            </w:r>
          </w:p>
          <w:p w:rsidR="0003562B" w:rsidRPr="002F12EA" w:rsidRDefault="0003562B" w:rsidP="00DA7D3B">
            <w:pPr>
              <w:snapToGrid/>
              <w:spacing w:before="0" w:after="0" w:line="360" w:lineRule="auto"/>
              <w:ind w:firstLineChars="200" w:firstLine="480"/>
              <w:jc w:val="both"/>
              <w:rPr>
                <w:rFonts w:ascii="Times New Roman" w:eastAsia="宋体" w:hAnsi="Times New Roman" w:cs="Times New Roman"/>
                <w:bCs/>
                <w:color w:val="000000"/>
                <w:sz w:val="24"/>
              </w:rPr>
            </w:pPr>
            <w:r w:rsidRPr="002F12EA">
              <w:rPr>
                <w:rFonts w:ascii="Times New Roman" w:eastAsia="宋体" w:hAnsi="Times New Roman" w:cs="Times New Roman"/>
                <w:bCs/>
                <w:color w:val="000000"/>
                <w:sz w:val="24"/>
              </w:rPr>
              <w:t>答：钠电电芯的瓦时成本构成因电池设计不同有差异，但总体来看钠电供应链均为大宗商品，价格稳定低廉，无原材料供应瓶颈，可支撑大规模量产需求。公司认为钠电与</w:t>
            </w:r>
            <w:r w:rsidRPr="002F12EA">
              <w:rPr>
                <w:rFonts w:ascii="Times New Roman" w:eastAsia="宋体" w:hAnsi="Times New Roman" w:cs="Times New Roman"/>
                <w:bCs/>
                <w:color w:val="000000"/>
                <w:sz w:val="24"/>
              </w:rPr>
              <w:t>LFP</w:t>
            </w:r>
            <w:r w:rsidRPr="002F12EA">
              <w:rPr>
                <w:rFonts w:ascii="Times New Roman" w:eastAsia="宋体" w:hAnsi="Times New Roman" w:cs="Times New Roman"/>
                <w:bCs/>
                <w:color w:val="000000"/>
                <w:sz w:val="24"/>
              </w:rPr>
              <w:t>电池是</w:t>
            </w:r>
            <w:r w:rsidRPr="002F12EA">
              <w:rPr>
                <w:rFonts w:ascii="Times New Roman" w:eastAsia="宋体" w:hAnsi="Times New Roman" w:cs="Times New Roman"/>
                <w:bCs/>
                <w:color w:val="000000"/>
                <w:sz w:val="24"/>
              </w:rPr>
              <w:t xml:space="preserve"> “</w:t>
            </w:r>
            <w:r w:rsidRPr="002F12EA">
              <w:rPr>
                <w:rFonts w:ascii="Times New Roman" w:eastAsia="宋体" w:hAnsi="Times New Roman" w:cs="Times New Roman"/>
                <w:bCs/>
                <w:color w:val="000000"/>
                <w:sz w:val="24"/>
              </w:rPr>
              <w:t>增量补充</w:t>
            </w:r>
            <w:r w:rsidRPr="002F12EA">
              <w:rPr>
                <w:rFonts w:ascii="Times New Roman" w:eastAsia="宋体" w:hAnsi="Times New Roman" w:cs="Times New Roman"/>
                <w:bCs/>
                <w:color w:val="000000"/>
                <w:sz w:val="24"/>
              </w:rPr>
              <w:t xml:space="preserve">” </w:t>
            </w:r>
            <w:r w:rsidRPr="002F12EA">
              <w:rPr>
                <w:rFonts w:ascii="Times New Roman" w:eastAsia="宋体" w:hAnsi="Times New Roman" w:cs="Times New Roman"/>
                <w:bCs/>
                <w:color w:val="000000"/>
                <w:sz w:val="24"/>
              </w:rPr>
              <w:t>而非替代的关系。钠电正极材料核心优势是</w:t>
            </w:r>
            <w:r w:rsidRPr="002F12EA">
              <w:rPr>
                <w:rFonts w:ascii="Times New Roman" w:eastAsia="宋体" w:hAnsi="Times New Roman" w:cs="Times New Roman"/>
                <w:bCs/>
                <w:color w:val="000000"/>
                <w:sz w:val="24"/>
              </w:rPr>
              <w:t xml:space="preserve"> - 40~60℃</w:t>
            </w:r>
            <w:r w:rsidRPr="002F12EA">
              <w:rPr>
                <w:rFonts w:ascii="Times New Roman" w:eastAsia="宋体" w:hAnsi="Times New Roman" w:cs="Times New Roman"/>
                <w:bCs/>
                <w:color w:val="000000"/>
                <w:sz w:val="24"/>
              </w:rPr>
              <w:t>宽温域，无需空调，控温成本节省显著，这是</w:t>
            </w:r>
            <w:r w:rsidRPr="002F12EA">
              <w:rPr>
                <w:rFonts w:ascii="Times New Roman" w:eastAsia="宋体" w:hAnsi="Times New Roman" w:cs="Times New Roman"/>
                <w:bCs/>
                <w:color w:val="000000"/>
                <w:sz w:val="24"/>
              </w:rPr>
              <w:t xml:space="preserve"> LFP </w:t>
            </w:r>
            <w:r w:rsidRPr="002F12EA">
              <w:rPr>
                <w:rFonts w:ascii="Times New Roman" w:eastAsia="宋体" w:hAnsi="Times New Roman" w:cs="Times New Roman"/>
                <w:bCs/>
                <w:color w:val="000000"/>
                <w:sz w:val="24"/>
              </w:rPr>
              <w:t>难以覆盖的场景。</w:t>
            </w:r>
          </w:p>
          <w:p w:rsidR="0003562B" w:rsidRPr="002F12EA" w:rsidRDefault="0003562B" w:rsidP="0003562B">
            <w:pPr>
              <w:snapToGrid/>
              <w:spacing w:before="0" w:after="0" w:line="360" w:lineRule="auto"/>
              <w:jc w:val="both"/>
              <w:rPr>
                <w:rFonts w:ascii="Times New Roman" w:eastAsia="宋体" w:hAnsi="Times New Roman" w:cs="Times New Roman"/>
                <w:bCs/>
                <w:color w:val="000000"/>
                <w:sz w:val="24"/>
              </w:rPr>
            </w:pPr>
          </w:p>
          <w:p w:rsidR="0003562B" w:rsidRPr="002F12EA" w:rsidRDefault="0003562B" w:rsidP="0003562B">
            <w:pPr>
              <w:snapToGrid/>
              <w:spacing w:before="0" w:after="0" w:line="360" w:lineRule="auto"/>
              <w:jc w:val="both"/>
              <w:rPr>
                <w:rFonts w:ascii="Times New Roman" w:eastAsia="宋体" w:hAnsi="Times New Roman" w:cs="Times New Roman"/>
                <w:b/>
                <w:bCs/>
                <w:color w:val="000000"/>
                <w:sz w:val="24"/>
              </w:rPr>
            </w:pPr>
            <w:r w:rsidRPr="002F12EA">
              <w:rPr>
                <w:rFonts w:ascii="Times New Roman" w:eastAsia="宋体" w:hAnsi="Times New Roman" w:cs="Times New Roman"/>
                <w:b/>
                <w:bCs/>
                <w:color w:val="000000"/>
                <w:sz w:val="24"/>
              </w:rPr>
              <w:t>三、钠电在储能领域的核心技术优势是什么？</w:t>
            </w:r>
          </w:p>
          <w:p w:rsidR="0003562B" w:rsidRPr="002F12EA" w:rsidRDefault="0003562B" w:rsidP="00DA7D3B">
            <w:pPr>
              <w:snapToGrid/>
              <w:spacing w:before="0" w:after="0" w:line="360" w:lineRule="auto"/>
              <w:ind w:firstLineChars="200" w:firstLine="480"/>
              <w:jc w:val="both"/>
              <w:rPr>
                <w:rFonts w:ascii="Times New Roman" w:eastAsia="宋体" w:hAnsi="Times New Roman" w:cs="Times New Roman"/>
                <w:bCs/>
                <w:color w:val="000000"/>
                <w:sz w:val="24"/>
              </w:rPr>
            </w:pPr>
            <w:r w:rsidRPr="002F12EA">
              <w:rPr>
                <w:rFonts w:ascii="Times New Roman" w:eastAsia="宋体" w:hAnsi="Times New Roman" w:cs="Times New Roman"/>
                <w:bCs/>
                <w:color w:val="000000"/>
                <w:sz w:val="24"/>
              </w:rPr>
              <w:t>答：储能市场需求多样化，钠电的多个特性完美契合其要求：宽温域性能可降低温控系统成本，高安全性可降低配套安全成本，高倍率性能支持快速响应，全生命周期成本相较于锂电方案有显著降低，目前</w:t>
            </w:r>
            <w:r w:rsidRPr="002F12EA">
              <w:rPr>
                <w:rFonts w:ascii="Times New Roman" w:eastAsia="宋体" w:hAnsi="Times New Roman" w:cs="Times New Roman"/>
                <w:bCs/>
                <w:color w:val="000000"/>
                <w:sz w:val="24"/>
              </w:rPr>
              <w:t>5G</w:t>
            </w:r>
            <w:r w:rsidRPr="002F12EA">
              <w:rPr>
                <w:rFonts w:ascii="Times New Roman" w:eastAsia="宋体" w:hAnsi="Times New Roman" w:cs="Times New Roman"/>
                <w:bCs/>
                <w:color w:val="000000"/>
                <w:sz w:val="24"/>
              </w:rPr>
              <w:t>基站、数据中心等中小型备电场景已具备商业化条件。</w:t>
            </w:r>
          </w:p>
          <w:p w:rsidR="0003562B" w:rsidRPr="002F12EA" w:rsidRDefault="0003562B" w:rsidP="0003562B">
            <w:pPr>
              <w:snapToGrid/>
              <w:spacing w:before="0" w:after="0" w:line="360" w:lineRule="auto"/>
              <w:jc w:val="both"/>
              <w:rPr>
                <w:rFonts w:ascii="Times New Roman" w:eastAsia="宋体" w:hAnsi="Times New Roman" w:cs="Times New Roman"/>
                <w:bCs/>
                <w:color w:val="000000"/>
                <w:sz w:val="24"/>
              </w:rPr>
            </w:pPr>
          </w:p>
          <w:p w:rsidR="0003562B" w:rsidRPr="002F12EA" w:rsidRDefault="0003562B" w:rsidP="0003562B">
            <w:pPr>
              <w:snapToGrid/>
              <w:spacing w:before="0" w:after="0" w:line="360" w:lineRule="auto"/>
              <w:jc w:val="both"/>
              <w:rPr>
                <w:rFonts w:ascii="Times New Roman" w:eastAsia="宋体" w:hAnsi="Times New Roman" w:cs="Times New Roman"/>
                <w:b/>
                <w:bCs/>
                <w:color w:val="000000"/>
                <w:sz w:val="24"/>
              </w:rPr>
            </w:pPr>
            <w:r w:rsidRPr="002F12EA">
              <w:rPr>
                <w:rFonts w:ascii="Times New Roman" w:eastAsia="宋体" w:hAnsi="Times New Roman" w:cs="Times New Roman"/>
                <w:b/>
                <w:bCs/>
                <w:color w:val="000000"/>
                <w:sz w:val="24"/>
              </w:rPr>
              <w:t>四、本次钠电正极材料较现有产品有大幅升级，想了解公司在生产装备做了哪些改进？</w:t>
            </w:r>
          </w:p>
          <w:p w:rsidR="0003562B" w:rsidRPr="002F12EA" w:rsidRDefault="0003562B" w:rsidP="00DA7D3B">
            <w:pPr>
              <w:snapToGrid/>
              <w:spacing w:before="0" w:after="0" w:line="360" w:lineRule="auto"/>
              <w:ind w:firstLineChars="200" w:firstLine="480"/>
              <w:jc w:val="both"/>
              <w:rPr>
                <w:rFonts w:ascii="Times New Roman" w:eastAsia="宋体" w:hAnsi="Times New Roman" w:cs="Times New Roman"/>
                <w:bCs/>
                <w:color w:val="000000"/>
                <w:sz w:val="24"/>
              </w:rPr>
            </w:pPr>
            <w:r w:rsidRPr="002F12EA">
              <w:rPr>
                <w:rFonts w:ascii="Times New Roman" w:eastAsia="宋体" w:hAnsi="Times New Roman" w:cs="Times New Roman"/>
                <w:bCs/>
                <w:color w:val="000000"/>
                <w:sz w:val="24"/>
              </w:rPr>
              <w:t>答：不同于采用三元及铁锂产线的兼容改造，公司对钠电材料的生产工艺、装备做了</w:t>
            </w:r>
            <w:r w:rsidRPr="002F12EA">
              <w:rPr>
                <w:rFonts w:ascii="Times New Roman" w:eastAsia="宋体" w:hAnsi="Times New Roman" w:cs="Times New Roman"/>
                <w:bCs/>
                <w:color w:val="000000"/>
                <w:sz w:val="24"/>
              </w:rPr>
              <w:t xml:space="preserve"> </w:t>
            </w:r>
            <w:r w:rsidRPr="002F12EA">
              <w:rPr>
                <w:rFonts w:ascii="Times New Roman" w:eastAsia="宋体" w:hAnsi="Times New Roman" w:cs="Times New Roman"/>
                <w:bCs/>
                <w:color w:val="000000"/>
                <w:sz w:val="24"/>
              </w:rPr>
              <w:t>全方位设计与优化，进行一体化的设备革新。公司自主设计适配钠电的专用产线，不仅帮助产品保持领先一代以上，同时新工艺新设备的应用，能大幅降低加工成本，提升钠电产品竞争力。目前装备的适配性也已满足量产需求，且能有效保护客户知识产权。</w:t>
            </w:r>
          </w:p>
          <w:p w:rsidR="0003562B" w:rsidRPr="002F12EA" w:rsidRDefault="0003562B" w:rsidP="0003562B">
            <w:pPr>
              <w:snapToGrid/>
              <w:spacing w:before="0" w:after="0" w:line="360" w:lineRule="auto"/>
              <w:jc w:val="both"/>
              <w:rPr>
                <w:rFonts w:ascii="Times New Roman" w:eastAsia="宋体" w:hAnsi="Times New Roman" w:cs="Times New Roman"/>
                <w:bCs/>
                <w:color w:val="000000"/>
                <w:sz w:val="24"/>
              </w:rPr>
            </w:pPr>
          </w:p>
          <w:p w:rsidR="0003562B" w:rsidRPr="002F12EA" w:rsidRDefault="0003562B" w:rsidP="0003562B">
            <w:pPr>
              <w:snapToGrid/>
              <w:spacing w:before="0" w:after="0" w:line="360" w:lineRule="auto"/>
              <w:jc w:val="both"/>
              <w:rPr>
                <w:rFonts w:ascii="Times New Roman" w:eastAsia="宋体" w:hAnsi="Times New Roman" w:cs="Times New Roman"/>
                <w:b/>
                <w:bCs/>
                <w:color w:val="000000"/>
                <w:sz w:val="24"/>
              </w:rPr>
            </w:pPr>
            <w:r w:rsidRPr="002F12EA">
              <w:rPr>
                <w:rFonts w:ascii="Times New Roman" w:eastAsia="宋体" w:hAnsi="Times New Roman" w:cs="Times New Roman"/>
                <w:b/>
                <w:bCs/>
                <w:color w:val="000000"/>
                <w:sz w:val="24"/>
              </w:rPr>
              <w:t>五、想了解公司具体的钠电产能规划是怎样的？</w:t>
            </w:r>
          </w:p>
          <w:p w:rsidR="0003562B" w:rsidRPr="002F12EA" w:rsidRDefault="0003562B" w:rsidP="00DA7D3B">
            <w:pPr>
              <w:snapToGrid/>
              <w:spacing w:before="0" w:after="0" w:line="360" w:lineRule="auto"/>
              <w:ind w:firstLineChars="200" w:firstLine="480"/>
              <w:jc w:val="both"/>
              <w:rPr>
                <w:rFonts w:ascii="Times New Roman" w:eastAsia="宋体" w:hAnsi="Times New Roman" w:cs="Times New Roman"/>
                <w:bCs/>
                <w:color w:val="000000"/>
                <w:sz w:val="24"/>
              </w:rPr>
            </w:pPr>
            <w:r w:rsidRPr="002F12EA">
              <w:rPr>
                <w:rFonts w:ascii="Times New Roman" w:eastAsia="宋体" w:hAnsi="Times New Roman" w:cs="Times New Roman"/>
                <w:bCs/>
                <w:color w:val="000000"/>
                <w:sz w:val="24"/>
              </w:rPr>
              <w:t>答：产能建设方面，公司于</w:t>
            </w:r>
            <w:r w:rsidRPr="002F12EA">
              <w:rPr>
                <w:rFonts w:ascii="Times New Roman" w:eastAsia="宋体" w:hAnsi="Times New Roman" w:cs="Times New Roman"/>
                <w:bCs/>
                <w:color w:val="000000"/>
                <w:sz w:val="24"/>
              </w:rPr>
              <w:t>2025</w:t>
            </w:r>
            <w:r w:rsidRPr="002F12EA">
              <w:rPr>
                <w:rFonts w:ascii="Times New Roman" w:eastAsia="宋体" w:hAnsi="Times New Roman" w:cs="Times New Roman"/>
                <w:bCs/>
                <w:color w:val="000000"/>
                <w:sz w:val="24"/>
              </w:rPr>
              <w:t>年在仙桃建成</w:t>
            </w:r>
            <w:r w:rsidRPr="002F12EA">
              <w:rPr>
                <w:rFonts w:ascii="Times New Roman" w:eastAsia="宋体" w:hAnsi="Times New Roman" w:cs="Times New Roman"/>
                <w:bCs/>
                <w:color w:val="000000"/>
                <w:sz w:val="24"/>
              </w:rPr>
              <w:t>6000</w:t>
            </w:r>
            <w:r w:rsidRPr="002F12EA">
              <w:rPr>
                <w:rFonts w:ascii="Times New Roman" w:eastAsia="宋体" w:hAnsi="Times New Roman" w:cs="Times New Roman"/>
                <w:bCs/>
                <w:color w:val="000000"/>
                <w:sz w:val="24"/>
              </w:rPr>
              <w:t>吨中试线，以验证新工艺与新设备。</w:t>
            </w:r>
            <w:r w:rsidRPr="002F12EA">
              <w:rPr>
                <w:rFonts w:ascii="Times New Roman" w:eastAsia="宋体" w:hAnsi="Times New Roman" w:cs="Times New Roman"/>
                <w:bCs/>
                <w:color w:val="000000"/>
                <w:sz w:val="24"/>
              </w:rPr>
              <w:t>2026</w:t>
            </w:r>
            <w:r w:rsidRPr="002F12EA">
              <w:rPr>
                <w:rFonts w:ascii="Times New Roman" w:eastAsia="宋体" w:hAnsi="Times New Roman" w:cs="Times New Roman"/>
                <w:bCs/>
                <w:color w:val="000000"/>
                <w:sz w:val="24"/>
              </w:rPr>
              <w:t>年预计通过改造与并购实现</w:t>
            </w:r>
            <w:r w:rsidRPr="002F12EA">
              <w:rPr>
                <w:rFonts w:ascii="Times New Roman" w:eastAsia="宋体" w:hAnsi="Times New Roman" w:cs="Times New Roman"/>
                <w:bCs/>
                <w:color w:val="000000"/>
                <w:sz w:val="24"/>
              </w:rPr>
              <w:t>5</w:t>
            </w:r>
            <w:r w:rsidRPr="002F12EA">
              <w:rPr>
                <w:rFonts w:ascii="Times New Roman" w:eastAsia="宋体" w:hAnsi="Times New Roman" w:cs="Times New Roman"/>
                <w:bCs/>
                <w:color w:val="000000"/>
                <w:sz w:val="24"/>
              </w:rPr>
              <w:t>万吨钠电产能，并新建</w:t>
            </w:r>
            <w:r w:rsidRPr="002F12EA">
              <w:rPr>
                <w:rFonts w:ascii="Times New Roman" w:eastAsia="宋体" w:hAnsi="Times New Roman" w:cs="Times New Roman"/>
                <w:bCs/>
                <w:color w:val="000000"/>
                <w:sz w:val="24"/>
              </w:rPr>
              <w:t>5-10</w:t>
            </w:r>
            <w:r w:rsidRPr="002F12EA">
              <w:rPr>
                <w:rFonts w:ascii="Times New Roman" w:eastAsia="宋体" w:hAnsi="Times New Roman" w:cs="Times New Roman"/>
                <w:bCs/>
                <w:color w:val="000000"/>
                <w:sz w:val="24"/>
              </w:rPr>
              <w:t>万吨一体化新产线。公司计划</w:t>
            </w:r>
            <w:r w:rsidRPr="002F12EA">
              <w:rPr>
                <w:rFonts w:ascii="Times New Roman" w:eastAsia="宋体" w:hAnsi="Times New Roman" w:cs="Times New Roman"/>
                <w:bCs/>
                <w:color w:val="000000"/>
                <w:sz w:val="24"/>
              </w:rPr>
              <w:t>2029</w:t>
            </w:r>
            <w:r w:rsidRPr="002F12EA">
              <w:rPr>
                <w:rFonts w:ascii="Times New Roman" w:eastAsia="宋体" w:hAnsi="Times New Roman" w:cs="Times New Roman"/>
                <w:bCs/>
                <w:color w:val="000000"/>
                <w:sz w:val="24"/>
              </w:rPr>
              <w:t>年开始在北美、欧洲等海外市场布局产线，实现钠电全球本土化供应。并于</w:t>
            </w:r>
            <w:r w:rsidRPr="002F12EA">
              <w:rPr>
                <w:rFonts w:ascii="Times New Roman" w:eastAsia="宋体" w:hAnsi="Times New Roman" w:cs="Times New Roman"/>
                <w:bCs/>
                <w:color w:val="000000"/>
                <w:sz w:val="24"/>
              </w:rPr>
              <w:t>2030</w:t>
            </w:r>
            <w:r w:rsidRPr="002F12EA">
              <w:rPr>
                <w:rFonts w:ascii="Times New Roman" w:eastAsia="宋体" w:hAnsi="Times New Roman" w:cs="Times New Roman"/>
                <w:bCs/>
                <w:color w:val="000000"/>
                <w:sz w:val="24"/>
              </w:rPr>
              <w:t>年，实现百万吨级钠电材料产能。</w:t>
            </w:r>
          </w:p>
          <w:p w:rsidR="0003562B" w:rsidRDefault="0003562B" w:rsidP="00DA7D3B">
            <w:pPr>
              <w:snapToGrid/>
              <w:spacing w:before="0" w:after="0" w:line="360" w:lineRule="auto"/>
              <w:ind w:firstLineChars="200" w:firstLine="480"/>
              <w:jc w:val="both"/>
              <w:rPr>
                <w:rFonts w:ascii="Times New Roman" w:eastAsia="宋体" w:hAnsi="Times New Roman" w:cs="Times New Roman"/>
                <w:bCs/>
                <w:color w:val="000000"/>
                <w:sz w:val="24"/>
              </w:rPr>
            </w:pPr>
            <w:r w:rsidRPr="002F12EA">
              <w:rPr>
                <w:rFonts w:ascii="Times New Roman" w:eastAsia="宋体" w:hAnsi="Times New Roman" w:cs="Times New Roman"/>
                <w:bCs/>
                <w:color w:val="000000"/>
                <w:sz w:val="24"/>
              </w:rPr>
              <w:t>在</w:t>
            </w:r>
            <w:r w:rsidRPr="002F12EA">
              <w:rPr>
                <w:rFonts w:ascii="Times New Roman" w:eastAsia="宋体" w:hAnsi="Times New Roman" w:cs="Times New Roman"/>
                <w:bCs/>
                <w:color w:val="000000"/>
                <w:sz w:val="24"/>
              </w:rPr>
              <w:t>AI</w:t>
            </w:r>
            <w:r w:rsidRPr="002F12EA">
              <w:rPr>
                <w:rFonts w:ascii="Times New Roman" w:eastAsia="宋体" w:hAnsi="Times New Roman" w:cs="Times New Roman"/>
                <w:bCs/>
                <w:color w:val="000000"/>
                <w:sz w:val="24"/>
              </w:rPr>
              <w:t>发展带动智能电网、波动性可再生能源使用激增的背景下，储能市场将迎来新一轮需求爆发，公司钠电产品凭借其在动力与储能领域的双重适用性，有望从中获得较大的增量机会。</w:t>
            </w:r>
          </w:p>
          <w:p w:rsidR="002F12EA" w:rsidRPr="002F12EA" w:rsidRDefault="002F12EA" w:rsidP="0003562B">
            <w:pPr>
              <w:snapToGrid/>
              <w:spacing w:before="0" w:after="0" w:line="360" w:lineRule="auto"/>
              <w:jc w:val="both"/>
              <w:rPr>
                <w:rFonts w:ascii="Times New Roman" w:eastAsia="宋体" w:hAnsi="Times New Roman" w:cs="Times New Roman"/>
                <w:bCs/>
                <w:color w:val="000000"/>
                <w:sz w:val="24"/>
              </w:rPr>
            </w:pPr>
          </w:p>
          <w:p w:rsidR="0003562B" w:rsidRPr="002F12EA" w:rsidRDefault="0003562B" w:rsidP="0003562B">
            <w:pPr>
              <w:snapToGrid/>
              <w:spacing w:before="0" w:after="0" w:line="360" w:lineRule="auto"/>
              <w:jc w:val="both"/>
              <w:rPr>
                <w:rFonts w:ascii="Times New Roman" w:eastAsia="宋体" w:hAnsi="Times New Roman" w:cs="Times New Roman"/>
                <w:bCs/>
                <w:color w:val="000000"/>
                <w:sz w:val="24"/>
              </w:rPr>
            </w:pPr>
            <w:r w:rsidRPr="002F12EA">
              <w:rPr>
                <w:rFonts w:ascii="Times New Roman" w:eastAsia="宋体" w:hAnsi="Times New Roman" w:cs="Times New Roman"/>
                <w:b/>
                <w:bCs/>
                <w:color w:val="000000"/>
                <w:sz w:val="24"/>
              </w:rPr>
              <w:t>六、钠电正极材料如何保证未来合理盈利预期，规避锂电式无序竞争？</w:t>
            </w:r>
          </w:p>
          <w:p w:rsidR="0003562B" w:rsidRPr="002F12EA" w:rsidRDefault="0003562B" w:rsidP="00DA7D3B">
            <w:pPr>
              <w:snapToGrid/>
              <w:spacing w:before="0" w:after="0" w:line="360" w:lineRule="auto"/>
              <w:ind w:firstLineChars="200" w:firstLine="480"/>
              <w:jc w:val="both"/>
              <w:rPr>
                <w:rFonts w:ascii="Times New Roman" w:eastAsia="宋体" w:hAnsi="Times New Roman" w:cs="Times New Roman"/>
                <w:bCs/>
                <w:color w:val="000000"/>
                <w:sz w:val="24"/>
              </w:rPr>
            </w:pPr>
            <w:r w:rsidRPr="002F12EA">
              <w:rPr>
                <w:rFonts w:ascii="Times New Roman" w:eastAsia="宋体" w:hAnsi="Times New Roman" w:cs="Times New Roman"/>
                <w:bCs/>
                <w:color w:val="000000"/>
                <w:sz w:val="24"/>
              </w:rPr>
              <w:t>答：技术突破：与上一轮因碳酸锂价格高企而催生的</w:t>
            </w:r>
            <w:r w:rsidRPr="002F12EA">
              <w:rPr>
                <w:rFonts w:ascii="Times New Roman" w:eastAsia="宋体" w:hAnsi="Times New Roman" w:cs="Times New Roman"/>
                <w:bCs/>
                <w:color w:val="000000"/>
                <w:sz w:val="24"/>
              </w:rPr>
              <w:t>“</w:t>
            </w:r>
            <w:r w:rsidRPr="002F12EA">
              <w:rPr>
                <w:rFonts w:ascii="Times New Roman" w:eastAsia="宋体" w:hAnsi="Times New Roman" w:cs="Times New Roman"/>
                <w:bCs/>
                <w:color w:val="000000"/>
                <w:sz w:val="24"/>
              </w:rPr>
              <w:t>钠电热</w:t>
            </w:r>
            <w:r w:rsidRPr="002F12EA">
              <w:rPr>
                <w:rFonts w:ascii="Times New Roman" w:eastAsia="宋体" w:hAnsi="Times New Roman" w:cs="Times New Roman"/>
                <w:bCs/>
                <w:color w:val="000000"/>
                <w:sz w:val="24"/>
              </w:rPr>
              <w:t>”</w:t>
            </w:r>
            <w:r w:rsidRPr="002F12EA">
              <w:rPr>
                <w:rFonts w:ascii="Times New Roman" w:eastAsia="宋体" w:hAnsi="Times New Roman" w:cs="Times New Roman"/>
                <w:bCs/>
                <w:color w:val="000000"/>
                <w:sz w:val="24"/>
              </w:rPr>
              <w:t>不同，本轮钠电的发展驱动力源于其自身在安全性、成本、性能等方面综合优势的成熟，是产业发展的必然结果。公司过去三年的突破集中在循环寿命提升、能量密度升级以及生产工艺重组，预计</w:t>
            </w:r>
            <w:r w:rsidRPr="002F12EA">
              <w:rPr>
                <w:rFonts w:ascii="Times New Roman" w:eastAsia="宋体" w:hAnsi="Times New Roman" w:cs="Times New Roman"/>
                <w:bCs/>
                <w:color w:val="000000"/>
                <w:sz w:val="24"/>
              </w:rPr>
              <w:t>2026</w:t>
            </w:r>
            <w:r w:rsidRPr="002F12EA">
              <w:rPr>
                <w:rFonts w:ascii="Times New Roman" w:eastAsia="宋体" w:hAnsi="Times New Roman" w:cs="Times New Roman"/>
                <w:bCs/>
                <w:color w:val="000000"/>
                <w:sz w:val="24"/>
              </w:rPr>
              <w:t>年可大规模量产。</w:t>
            </w:r>
          </w:p>
          <w:p w:rsidR="0003562B" w:rsidRPr="002F12EA" w:rsidRDefault="0003562B" w:rsidP="00DA7D3B">
            <w:pPr>
              <w:snapToGrid/>
              <w:spacing w:before="0" w:after="0" w:line="360" w:lineRule="auto"/>
              <w:ind w:firstLineChars="200" w:firstLine="480"/>
              <w:jc w:val="both"/>
              <w:rPr>
                <w:rFonts w:ascii="Times New Roman" w:eastAsia="宋体" w:hAnsi="Times New Roman" w:cs="Times New Roman"/>
                <w:bCs/>
                <w:color w:val="000000"/>
                <w:sz w:val="24"/>
              </w:rPr>
            </w:pPr>
            <w:r w:rsidRPr="002F12EA">
              <w:rPr>
                <w:rFonts w:ascii="Times New Roman" w:eastAsia="宋体" w:hAnsi="Times New Roman" w:cs="Times New Roman"/>
                <w:bCs/>
                <w:color w:val="000000"/>
                <w:sz w:val="24"/>
              </w:rPr>
              <w:t>盈利能力：一方面，锂电材料的内卷很大程度上源于原材料成本占比高且价格波动大，而钠电在原材料方面，来源广泛、价格稳定，竞争更侧重于独特的技术优势。另一方面，公司将通过签订长单、探索电池极片直供、设备创新、领先一代的产品技术、布局回收闭环等创新商业模式，避免以价换量，致力于维持行业头部企业应有的、合理的盈利水平。目前材料企业的商业模式正在发生变化，通过对核心技术的保护，以及打造市场上具备稀缺性的产品，来持续保持公司的竞争力和盈利能力。</w:t>
            </w:r>
          </w:p>
          <w:p w:rsidR="0003562B" w:rsidRPr="002F12EA" w:rsidRDefault="0003562B" w:rsidP="0003562B">
            <w:pPr>
              <w:snapToGrid/>
              <w:spacing w:before="0" w:after="0" w:line="360" w:lineRule="auto"/>
              <w:jc w:val="both"/>
              <w:rPr>
                <w:rFonts w:ascii="Times New Roman" w:eastAsia="宋体" w:hAnsi="Times New Roman" w:cs="Times New Roman"/>
                <w:bCs/>
                <w:color w:val="000000"/>
                <w:sz w:val="24"/>
              </w:rPr>
            </w:pPr>
          </w:p>
          <w:p w:rsidR="0003562B" w:rsidRPr="002F12EA" w:rsidRDefault="0003562B" w:rsidP="0003562B">
            <w:pPr>
              <w:snapToGrid/>
              <w:spacing w:before="0" w:after="0" w:line="360" w:lineRule="auto"/>
              <w:jc w:val="both"/>
              <w:rPr>
                <w:rFonts w:ascii="Times New Roman" w:eastAsia="宋体" w:hAnsi="Times New Roman" w:cs="Times New Roman"/>
                <w:b/>
                <w:bCs/>
                <w:color w:val="000000"/>
                <w:sz w:val="24"/>
              </w:rPr>
            </w:pPr>
            <w:r w:rsidRPr="002F12EA">
              <w:rPr>
                <w:rFonts w:ascii="Times New Roman" w:eastAsia="宋体" w:hAnsi="Times New Roman" w:cs="Times New Roman"/>
                <w:b/>
                <w:bCs/>
                <w:color w:val="000000"/>
                <w:sz w:val="24"/>
              </w:rPr>
              <w:t>七、钠电技术路线包括层状氧化物和聚阴离子，请问公司侧重哪个技术路线，该项技术的竞争优势是什么？</w:t>
            </w:r>
          </w:p>
          <w:p w:rsidR="0003562B" w:rsidRDefault="0003562B" w:rsidP="0003562B">
            <w:pPr>
              <w:snapToGrid/>
              <w:spacing w:before="0" w:after="0" w:line="360" w:lineRule="auto"/>
              <w:jc w:val="both"/>
              <w:rPr>
                <w:rFonts w:ascii="Times New Roman" w:eastAsia="宋体" w:hAnsi="Times New Roman" w:cs="Times New Roman"/>
                <w:bCs/>
                <w:color w:val="000000"/>
                <w:sz w:val="24"/>
              </w:rPr>
            </w:pPr>
            <w:r w:rsidRPr="002F12EA">
              <w:rPr>
                <w:rFonts w:ascii="Times New Roman" w:eastAsia="宋体" w:hAnsi="Times New Roman" w:cs="Times New Roman"/>
                <w:bCs/>
                <w:color w:val="000000"/>
                <w:sz w:val="24"/>
              </w:rPr>
              <w:t xml:space="preserve"> </w:t>
            </w:r>
            <w:r w:rsidR="00DA7D3B">
              <w:rPr>
                <w:rFonts w:ascii="Times New Roman" w:eastAsia="宋体" w:hAnsi="Times New Roman" w:cs="Times New Roman"/>
                <w:bCs/>
                <w:color w:val="000000"/>
                <w:sz w:val="24"/>
              </w:rPr>
              <w:t xml:space="preserve">  </w:t>
            </w:r>
            <w:r w:rsidRPr="002F12EA">
              <w:rPr>
                <w:rFonts w:ascii="Times New Roman" w:eastAsia="宋体" w:hAnsi="Times New Roman" w:cs="Times New Roman"/>
                <w:bCs/>
                <w:color w:val="000000"/>
                <w:sz w:val="24"/>
              </w:rPr>
              <w:t>答：公司的钠电技术路线全面覆盖。目前公司聚阴离子产品在循环寿命、压实、能量密度等关键指标上均处于领先地位，循环寿命＞</w:t>
            </w:r>
            <w:r w:rsidRPr="002F12EA">
              <w:rPr>
                <w:rFonts w:ascii="Times New Roman" w:eastAsia="宋体" w:hAnsi="Times New Roman" w:cs="Times New Roman"/>
                <w:bCs/>
                <w:color w:val="000000"/>
                <w:sz w:val="24"/>
              </w:rPr>
              <w:t>15000</w:t>
            </w:r>
            <w:r w:rsidRPr="002F12EA">
              <w:rPr>
                <w:rFonts w:ascii="Times New Roman" w:eastAsia="宋体" w:hAnsi="Times New Roman" w:cs="Times New Roman"/>
                <w:bCs/>
                <w:color w:val="000000"/>
                <w:sz w:val="24"/>
              </w:rPr>
              <w:t>，极片压实达</w:t>
            </w:r>
            <w:r w:rsidRPr="002F12EA">
              <w:rPr>
                <w:rFonts w:ascii="Times New Roman" w:eastAsia="宋体" w:hAnsi="Times New Roman" w:cs="Times New Roman"/>
                <w:bCs/>
                <w:color w:val="000000"/>
                <w:sz w:val="24"/>
              </w:rPr>
              <w:t>2.25</w:t>
            </w:r>
            <w:r w:rsidR="00DA7D3B">
              <w:rPr>
                <w:rFonts w:ascii="Times New Roman" w:eastAsia="宋体" w:hAnsi="Times New Roman" w:cs="Times New Roman"/>
                <w:bCs/>
                <w:color w:val="000000"/>
                <w:sz w:val="24"/>
              </w:rPr>
              <w:t>（量产交付）；层状氧化物高能量密度产品</w:t>
            </w:r>
            <w:r w:rsidRPr="002F12EA">
              <w:rPr>
                <w:rFonts w:ascii="Times New Roman" w:eastAsia="宋体" w:hAnsi="Times New Roman" w:cs="Times New Roman"/>
                <w:bCs/>
                <w:color w:val="000000"/>
                <w:sz w:val="24"/>
              </w:rPr>
              <w:t>实现稳定量产级生产，</w:t>
            </w:r>
            <w:r w:rsidRPr="002F12EA">
              <w:rPr>
                <w:rFonts w:ascii="Times New Roman" w:eastAsia="宋体" w:hAnsi="Times New Roman" w:cs="Times New Roman"/>
                <w:bCs/>
                <w:color w:val="000000"/>
                <w:sz w:val="24"/>
              </w:rPr>
              <w:t>170Wh/kg</w:t>
            </w:r>
            <w:r w:rsidRPr="002F12EA">
              <w:rPr>
                <w:rFonts w:ascii="Times New Roman" w:eastAsia="宋体" w:hAnsi="Times New Roman" w:cs="Times New Roman"/>
                <w:bCs/>
                <w:color w:val="000000"/>
                <w:sz w:val="24"/>
              </w:rPr>
              <w:t>产品实现稳定量产级生产，</w:t>
            </w:r>
            <w:r w:rsidRPr="002F12EA">
              <w:rPr>
                <w:rFonts w:ascii="Times New Roman" w:eastAsia="宋体" w:hAnsi="Times New Roman" w:cs="Times New Roman"/>
                <w:bCs/>
                <w:color w:val="000000"/>
                <w:sz w:val="24"/>
              </w:rPr>
              <w:t>180Wh/kg</w:t>
            </w:r>
            <w:r w:rsidRPr="002F12EA">
              <w:rPr>
                <w:rFonts w:ascii="Times New Roman" w:eastAsia="宋体" w:hAnsi="Times New Roman" w:cs="Times New Roman"/>
                <w:bCs/>
                <w:color w:val="000000"/>
                <w:sz w:val="24"/>
              </w:rPr>
              <w:t>产品已经完成百公斤级备样，初步达到</w:t>
            </w:r>
            <w:r w:rsidRPr="002F12EA">
              <w:rPr>
                <w:rFonts w:ascii="Times New Roman" w:eastAsia="宋体" w:hAnsi="Times New Roman" w:cs="Times New Roman"/>
                <w:bCs/>
                <w:color w:val="000000"/>
                <w:sz w:val="24"/>
              </w:rPr>
              <w:t>LFP</w:t>
            </w:r>
            <w:r w:rsidRPr="002F12EA">
              <w:rPr>
                <w:rFonts w:ascii="Times New Roman" w:eastAsia="宋体" w:hAnsi="Times New Roman" w:cs="Times New Roman"/>
                <w:bCs/>
                <w:color w:val="000000"/>
                <w:sz w:val="24"/>
              </w:rPr>
              <w:t>能量密度水平。</w:t>
            </w:r>
          </w:p>
          <w:p w:rsidR="00DA7D3B" w:rsidRPr="002F12EA" w:rsidRDefault="00DA7D3B" w:rsidP="0003562B">
            <w:pPr>
              <w:snapToGrid/>
              <w:spacing w:before="0" w:after="0" w:line="360" w:lineRule="auto"/>
              <w:jc w:val="both"/>
              <w:rPr>
                <w:rFonts w:ascii="Times New Roman" w:eastAsia="宋体" w:hAnsi="Times New Roman" w:cs="Times New Roman"/>
                <w:bCs/>
                <w:color w:val="000000"/>
                <w:sz w:val="24"/>
              </w:rPr>
            </w:pPr>
          </w:p>
          <w:p w:rsidR="0003562B" w:rsidRPr="00DA7D3B" w:rsidRDefault="0003562B" w:rsidP="0003562B">
            <w:pPr>
              <w:snapToGrid/>
              <w:spacing w:before="0" w:after="0" w:line="360" w:lineRule="auto"/>
              <w:jc w:val="both"/>
              <w:rPr>
                <w:rFonts w:ascii="Times New Roman" w:eastAsia="宋体" w:hAnsi="Times New Roman" w:cs="Times New Roman"/>
                <w:b/>
                <w:bCs/>
                <w:color w:val="000000"/>
                <w:sz w:val="24"/>
              </w:rPr>
            </w:pPr>
            <w:r w:rsidRPr="00DA7D3B">
              <w:rPr>
                <w:rFonts w:ascii="Times New Roman" w:eastAsia="宋体" w:hAnsi="Times New Roman" w:cs="Times New Roman"/>
                <w:b/>
                <w:bCs/>
                <w:color w:val="000000"/>
                <w:sz w:val="24"/>
              </w:rPr>
              <w:t>八、钠电材料出口是否有限制，以及海外客户进展如何？</w:t>
            </w:r>
          </w:p>
          <w:p w:rsidR="00D922C8" w:rsidRPr="002F12EA" w:rsidRDefault="0003562B" w:rsidP="00DA7D3B">
            <w:pPr>
              <w:snapToGrid/>
              <w:spacing w:before="0" w:after="0" w:line="360" w:lineRule="auto"/>
              <w:ind w:firstLineChars="200" w:firstLine="480"/>
              <w:jc w:val="both"/>
              <w:rPr>
                <w:rFonts w:ascii="Times New Roman" w:eastAsia="宋体" w:hAnsi="Times New Roman" w:cs="Times New Roman"/>
                <w:bCs/>
                <w:color w:val="000000"/>
                <w:sz w:val="24"/>
              </w:rPr>
            </w:pPr>
            <w:r w:rsidRPr="002F12EA">
              <w:rPr>
                <w:rFonts w:ascii="Times New Roman" w:eastAsia="宋体" w:hAnsi="Times New Roman" w:cs="Times New Roman"/>
                <w:bCs/>
                <w:color w:val="000000"/>
                <w:sz w:val="24"/>
              </w:rPr>
              <w:t>答：目前钠电正极材料不在出口限制范围内，公司全球化钠电产能布局有明确海外需求，公司已经与国内外的头部客户签署了合作协议，海外大客户的对接与放量出货预计会比国内晚</w:t>
            </w:r>
            <w:r w:rsidRPr="002F12EA">
              <w:rPr>
                <w:rFonts w:ascii="Times New Roman" w:eastAsia="宋体" w:hAnsi="Times New Roman" w:cs="Times New Roman"/>
                <w:bCs/>
                <w:color w:val="000000"/>
                <w:sz w:val="24"/>
              </w:rPr>
              <w:t>1-2</w:t>
            </w:r>
            <w:r w:rsidRPr="002F12EA">
              <w:rPr>
                <w:rFonts w:ascii="Times New Roman" w:eastAsia="宋体" w:hAnsi="Times New Roman" w:cs="Times New Roman"/>
                <w:bCs/>
                <w:color w:val="000000"/>
                <w:sz w:val="24"/>
              </w:rPr>
              <w:t>年。</w:t>
            </w:r>
          </w:p>
        </w:tc>
      </w:tr>
      <w:tr w:rsidR="00D922C8" w:rsidRPr="002F12EA">
        <w:trPr>
          <w:trHeight w:val="681"/>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D922C8" w:rsidRPr="002F12EA" w:rsidRDefault="00AA6C35">
            <w:pPr>
              <w:spacing w:before="0" w:after="0" w:line="360" w:lineRule="auto"/>
              <w:ind w:right="110"/>
              <w:jc w:val="center"/>
              <w:rPr>
                <w:rFonts w:ascii="Times New Roman" w:hAnsi="Times New Roman" w:cs="Times New Roman"/>
              </w:rPr>
            </w:pPr>
            <w:r w:rsidRPr="002F12EA">
              <w:rPr>
                <w:rFonts w:ascii="Times New Roman" w:eastAsia="宋体" w:hAnsi="Times New Roman" w:cs="Times New Roman"/>
                <w:b/>
                <w:color w:val="000000"/>
                <w:sz w:val="24"/>
              </w:rPr>
              <w:t>附件</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rsidR="00D922C8" w:rsidRPr="002F12EA" w:rsidRDefault="00AA6C35">
            <w:pPr>
              <w:spacing w:before="156" w:after="156" w:line="360" w:lineRule="auto"/>
              <w:jc w:val="both"/>
              <w:rPr>
                <w:rFonts w:ascii="Times New Roman" w:hAnsi="Times New Roman" w:cs="Times New Roman"/>
              </w:rPr>
            </w:pPr>
            <w:r w:rsidRPr="002F12EA">
              <w:rPr>
                <w:rFonts w:ascii="Times New Roman" w:eastAsia="宋体" w:hAnsi="Times New Roman" w:cs="Times New Roman"/>
                <w:color w:val="000000"/>
                <w:sz w:val="24"/>
              </w:rPr>
              <w:t>《与会清单》</w:t>
            </w:r>
          </w:p>
        </w:tc>
      </w:tr>
    </w:tbl>
    <w:p w:rsidR="00D922C8" w:rsidRPr="002F12EA" w:rsidRDefault="00AA6C35">
      <w:pPr>
        <w:snapToGrid/>
        <w:spacing w:before="0" w:after="0" w:line="360" w:lineRule="auto"/>
        <w:rPr>
          <w:rFonts w:ascii="Times New Roman" w:eastAsia="宋体" w:hAnsi="Times New Roman" w:cs="Times New Roman"/>
          <w:b/>
          <w:color w:val="000000"/>
          <w:sz w:val="24"/>
        </w:rPr>
      </w:pPr>
      <w:r w:rsidRPr="002F12EA">
        <w:rPr>
          <w:rFonts w:ascii="Times New Roman" w:eastAsia="宋体" w:hAnsi="Times New Roman" w:cs="Times New Roman"/>
          <w:b/>
          <w:color w:val="000000"/>
          <w:sz w:val="24"/>
        </w:rPr>
        <w:t> </w:t>
      </w:r>
    </w:p>
    <w:p w:rsidR="00D922C8" w:rsidRPr="002F12EA" w:rsidRDefault="00D922C8">
      <w:pPr>
        <w:spacing w:before="0" w:after="0" w:line="360" w:lineRule="auto"/>
        <w:rPr>
          <w:rFonts w:ascii="Times New Roman" w:eastAsia="宋体" w:hAnsi="Times New Roman" w:cs="Times New Roman"/>
          <w:b/>
          <w:color w:val="000000"/>
          <w:sz w:val="24"/>
        </w:rPr>
      </w:pPr>
    </w:p>
    <w:p w:rsidR="0003562B" w:rsidRPr="002F12EA" w:rsidRDefault="0003562B">
      <w:pPr>
        <w:spacing w:before="0" w:after="0" w:line="360" w:lineRule="auto"/>
        <w:rPr>
          <w:rFonts w:ascii="Times New Roman" w:eastAsia="宋体" w:hAnsi="Times New Roman" w:cs="Times New Roman"/>
          <w:b/>
          <w:color w:val="000000"/>
          <w:sz w:val="24"/>
        </w:rPr>
      </w:pPr>
    </w:p>
    <w:p w:rsidR="0003562B" w:rsidRPr="002F12EA" w:rsidRDefault="0003562B">
      <w:pPr>
        <w:spacing w:before="0" w:after="0" w:line="360" w:lineRule="auto"/>
        <w:rPr>
          <w:rFonts w:ascii="Times New Roman" w:eastAsia="宋体" w:hAnsi="Times New Roman" w:cs="Times New Roman"/>
          <w:b/>
          <w:color w:val="000000"/>
          <w:sz w:val="24"/>
        </w:rPr>
      </w:pPr>
    </w:p>
    <w:p w:rsidR="0003562B" w:rsidRPr="002F12EA" w:rsidRDefault="0003562B">
      <w:pPr>
        <w:spacing w:before="0" w:after="0" w:line="360" w:lineRule="auto"/>
        <w:rPr>
          <w:rFonts w:ascii="Times New Roman" w:eastAsia="宋体" w:hAnsi="Times New Roman" w:cs="Times New Roman"/>
          <w:b/>
          <w:color w:val="000000"/>
          <w:sz w:val="24"/>
        </w:rPr>
      </w:pPr>
    </w:p>
    <w:p w:rsidR="0003562B" w:rsidRPr="002F12EA" w:rsidRDefault="0003562B">
      <w:pPr>
        <w:spacing w:before="0" w:after="0" w:line="360" w:lineRule="auto"/>
        <w:rPr>
          <w:rFonts w:ascii="Times New Roman" w:eastAsia="宋体" w:hAnsi="Times New Roman" w:cs="Times New Roman"/>
          <w:b/>
          <w:color w:val="000000"/>
          <w:sz w:val="24"/>
        </w:rPr>
      </w:pPr>
    </w:p>
    <w:p w:rsidR="0003562B" w:rsidRPr="002F12EA" w:rsidRDefault="0003562B">
      <w:pPr>
        <w:spacing w:before="0" w:after="0" w:line="360" w:lineRule="auto"/>
        <w:rPr>
          <w:rFonts w:ascii="Times New Roman" w:eastAsia="宋体" w:hAnsi="Times New Roman" w:cs="Times New Roman"/>
          <w:b/>
          <w:color w:val="000000"/>
          <w:sz w:val="24"/>
        </w:rPr>
      </w:pPr>
    </w:p>
    <w:p w:rsidR="0003562B" w:rsidRPr="002F12EA" w:rsidRDefault="0003562B">
      <w:pPr>
        <w:spacing w:before="0" w:after="0" w:line="360" w:lineRule="auto"/>
        <w:rPr>
          <w:rFonts w:ascii="Times New Roman" w:eastAsia="宋体" w:hAnsi="Times New Roman" w:cs="Times New Roman"/>
          <w:b/>
          <w:color w:val="000000"/>
          <w:sz w:val="24"/>
        </w:rPr>
      </w:pPr>
    </w:p>
    <w:p w:rsidR="0003562B" w:rsidRDefault="0003562B">
      <w:pPr>
        <w:spacing w:before="0" w:after="0" w:line="360" w:lineRule="auto"/>
        <w:rPr>
          <w:rFonts w:ascii="Times New Roman" w:eastAsia="宋体" w:hAnsi="Times New Roman" w:cs="Times New Roman"/>
          <w:b/>
          <w:color w:val="000000"/>
          <w:sz w:val="24"/>
        </w:rPr>
      </w:pPr>
    </w:p>
    <w:p w:rsidR="002F12EA" w:rsidRDefault="002F12EA">
      <w:pPr>
        <w:spacing w:before="0" w:after="0" w:line="360" w:lineRule="auto"/>
        <w:rPr>
          <w:rFonts w:ascii="Times New Roman" w:eastAsia="宋体" w:hAnsi="Times New Roman" w:cs="Times New Roman"/>
          <w:b/>
          <w:color w:val="000000"/>
          <w:sz w:val="24"/>
        </w:rPr>
      </w:pPr>
    </w:p>
    <w:p w:rsidR="002F12EA" w:rsidRDefault="002F12EA">
      <w:pPr>
        <w:spacing w:before="0" w:after="0" w:line="360" w:lineRule="auto"/>
        <w:rPr>
          <w:rFonts w:ascii="Times New Roman" w:eastAsia="宋体" w:hAnsi="Times New Roman" w:cs="Times New Roman"/>
          <w:b/>
          <w:color w:val="000000"/>
          <w:sz w:val="24"/>
        </w:rPr>
      </w:pPr>
    </w:p>
    <w:p w:rsidR="002F12EA" w:rsidRDefault="002F12EA">
      <w:pPr>
        <w:spacing w:before="0" w:after="0" w:line="360" w:lineRule="auto"/>
        <w:rPr>
          <w:rFonts w:ascii="Times New Roman" w:eastAsia="宋体" w:hAnsi="Times New Roman" w:cs="Times New Roman"/>
          <w:b/>
          <w:color w:val="000000"/>
          <w:sz w:val="24"/>
        </w:rPr>
      </w:pPr>
    </w:p>
    <w:p w:rsidR="002F12EA" w:rsidRDefault="002F12EA">
      <w:pPr>
        <w:spacing w:before="0" w:after="0" w:line="360" w:lineRule="auto"/>
        <w:rPr>
          <w:rFonts w:ascii="Times New Roman" w:eastAsia="宋体" w:hAnsi="Times New Roman" w:cs="Times New Roman"/>
          <w:b/>
          <w:color w:val="000000"/>
          <w:sz w:val="24"/>
        </w:rPr>
      </w:pPr>
    </w:p>
    <w:p w:rsidR="00D922C8" w:rsidRPr="002F12EA" w:rsidRDefault="00AA6C35">
      <w:pPr>
        <w:spacing w:before="0" w:after="0" w:line="360" w:lineRule="auto"/>
        <w:rPr>
          <w:rFonts w:ascii="Times New Roman" w:eastAsia="宋体" w:hAnsi="Times New Roman" w:cs="Times New Roman"/>
          <w:b/>
          <w:color w:val="000000"/>
          <w:sz w:val="24"/>
        </w:rPr>
      </w:pPr>
      <w:r w:rsidRPr="002F12EA">
        <w:rPr>
          <w:rFonts w:ascii="Times New Roman" w:eastAsia="宋体" w:hAnsi="Times New Roman" w:cs="Times New Roman"/>
          <w:b/>
          <w:color w:val="000000"/>
          <w:sz w:val="24"/>
        </w:rPr>
        <w:t>附件：《与会清单》</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863"/>
      </w:tblGrid>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BARNHILLCAPITALLIMITED</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光影资本（北京）有限公司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capstone capital</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广东奶酪基金</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 xml:space="preserve">IGWT Investment </w:t>
            </w:r>
            <w:r w:rsidRPr="002F12EA">
              <w:rPr>
                <w:rFonts w:ascii="Times New Roman" w:eastAsia="宋体" w:hAnsi="Times New Roman" w:cs="Times New Roman"/>
                <w:color w:val="000000"/>
                <w:kern w:val="0"/>
                <w:sz w:val="24"/>
                <w:szCs w:val="24"/>
              </w:rPr>
              <w:t>投资公司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广东谢诺辰阳私募证券投资管理有限公司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North Rock Capital</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广东正圆私募基金管理有限公司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Ploncy Cap</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广发证券股份有限公司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埃普斯国际</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香港</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有限公司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广州远望角投资有限公司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邦德资产管理</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香港</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有限公司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硅谷天堂产业集团股份有限公司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宝盈基金</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国华兴益保险资产管理有限公司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北京诚盛投资管理有限公司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国金证券股份有限公司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北京富智投资管理有限公司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国联民生证券股份有限公司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北京京管泰富基金管理有限责任公司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国盛证券有限责任公司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博时基金</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国泰海通</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财通证券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国泰基金</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财信证券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国信证券股份有限公司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创富兆业</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海南鸿盛私募基金管理有限公司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大家资产管理有限责任公司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海南鑫焱创业投资有限公司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东吴证券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海南羊角私募基金管理合伙企业</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有限合伙</w:t>
            </w:r>
            <w:r w:rsidRPr="002F12EA">
              <w:rPr>
                <w:rFonts w:ascii="Times New Roman" w:eastAsia="宋体" w:hAnsi="Times New Roman" w:cs="Times New Roman"/>
                <w:color w:val="000000"/>
                <w:kern w:val="0"/>
                <w:sz w:val="24"/>
                <w:szCs w:val="24"/>
              </w:rPr>
              <w:t>)</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东吴证券股份有限公司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海鹏投资</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东兴基金管理有限公司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昊泽致远投资管理有限公司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富瑞金融集团香港有限公司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合众资产管理股份有限公司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高工锂电</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红杉资本股权投资管理</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天津</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亘曦资产</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宏利投资管理</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香港</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耕霁</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上海</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投资管理有限公司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泓德基金管理有限公司</w:t>
            </w:r>
          </w:p>
        </w:tc>
      </w:tr>
      <w:tr w:rsidR="0003562B" w:rsidRPr="002F12EA" w:rsidTr="0003562B">
        <w:trPr>
          <w:trHeight w:val="562"/>
        </w:trPr>
        <w:tc>
          <w:tcPr>
            <w:tcW w:w="4508"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光大证券股份有限公司</w:t>
            </w:r>
          </w:p>
        </w:tc>
        <w:tc>
          <w:tcPr>
            <w:tcW w:w="4863" w:type="dxa"/>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鸿运私募基金管理</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海南</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湖南八零后资产管理有限公司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趋势资本</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湖南省湘江私募基金管理有限公司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泉汐投资</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花旗环球金融亚洲有限公司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群益证券投资信托股份有限公司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华创证券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榕树投资</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华福证券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瑞银集团</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华泰证券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瑞银证券有限责任公司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华西基金</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瑞众人寿保险有限责任公司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华西证券股份有限公司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厦门象屿金象控股集团有限公司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华夏未来资本管理有限公司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上海博笃投资管理有限公司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嘉合基金管理有限公司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上海度势投资有限公司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架桥资本</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上海光合未来私募基金管理有限公司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建信养老金管理有限责任公司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上海恒复投资管理有限公司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江又达</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深圳</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私券证券基金管理有限公司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上海明河投资管理有限公司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金信基金</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上海摩旗投资管理有限公司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开源证券股份有限公司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上海申银万国证券研究所有限公司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凯基证券亚洲有限公司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上海远舟投资管理中心（有限合伙）</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民生加银基金管理有限公司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上海证券报</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摩根大通公司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尚正基金</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南方基金</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申万宏源证券有限公司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南华基金管理有限公司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深圳大道至诚投资管理合伙企业</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有限合伙</w:t>
            </w:r>
            <w:r w:rsidRPr="002F12EA">
              <w:rPr>
                <w:rFonts w:ascii="Times New Roman" w:eastAsia="宋体" w:hAnsi="Times New Roman" w:cs="Times New Roman"/>
                <w:color w:val="000000"/>
                <w:kern w:val="0"/>
                <w:sz w:val="24"/>
                <w:szCs w:val="24"/>
              </w:rPr>
              <w:t>)</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宁远资本有限公司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深圳道谊投资</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鹏格斯资产管理有限公司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深圳富存投资管理有限公司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千合资产管理公司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深圳乐中控股有限公司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前方基金管理有限公司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深圳前海君安资产管理有限公司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深圳榕树投资</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银河基金管理有限公司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深圳市国晖投资有限公司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银泰证券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深圳市榕树投资</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盈峰资本</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深圳市尚诚资产管理有限责任公司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粤港澳大湾区科技创新产业投资基金</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有限合伙</w:t>
            </w:r>
            <w:r w:rsidRPr="002F12EA">
              <w:rPr>
                <w:rFonts w:ascii="Times New Roman" w:eastAsia="宋体" w:hAnsi="Times New Roman" w:cs="Times New Roman"/>
                <w:color w:val="000000"/>
                <w:kern w:val="0"/>
                <w:sz w:val="24"/>
                <w:szCs w:val="24"/>
              </w:rPr>
              <w:t>)</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深圳市智诚海威资产管理有限公司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张家港高竹私募基金管理有限公司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深圳中天汇富基金管理有限公司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长安基金管理有限公司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太平洋证券股份有限公司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长江证券股份有限公司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天风证券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长沙创富启航信息有限公司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天升基金</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招商证券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万顺新材</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浙江农村商业联合银行股份有限公司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蔚来资本</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证券时报</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五矿证券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中国国际金融股份有限公司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西安江岳私募基金管理有限公司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中国国有资本风险投资管理有限公司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西安清善</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中国投资有限责任公司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西部利得基金管理有限公司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中国银河证券股份有限公司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西部长江企业管理</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重庆</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中国银行股份有限公司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西部证券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中国证券报</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西藏合众易晟投资管理有限责任公司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中泰证券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湘财基金管理有限公司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中天国富证券有限公司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信达澳亚基金管理有限公司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中信建投</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国际</w:t>
            </w:r>
            <w:r w:rsidRPr="002F12EA">
              <w:rPr>
                <w:rFonts w:ascii="Times New Roman" w:eastAsia="宋体" w:hAnsi="Times New Roman" w:cs="Times New Roman"/>
                <w:color w:val="000000"/>
                <w:kern w:val="0"/>
                <w:sz w:val="24"/>
                <w:szCs w:val="24"/>
              </w:rPr>
              <w:t>)</w:t>
            </w:r>
            <w:r w:rsidRPr="002F12EA">
              <w:rPr>
                <w:rFonts w:ascii="Times New Roman" w:eastAsia="宋体" w:hAnsi="Times New Roman" w:cs="Times New Roman"/>
                <w:color w:val="000000"/>
                <w:kern w:val="0"/>
                <w:sz w:val="24"/>
                <w:szCs w:val="24"/>
              </w:rPr>
              <w:t>金融控股有限公司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兴业证券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中信建投证券股份有限公司</w:t>
            </w:r>
          </w:p>
        </w:tc>
      </w:tr>
      <w:tr w:rsidR="0003562B" w:rsidRPr="002F12EA" w:rsidTr="0003562B">
        <w:trPr>
          <w:trHeight w:val="562"/>
        </w:trPr>
        <w:tc>
          <w:tcPr>
            <w:tcW w:w="4508"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兴银理财有限责任公司</w:t>
            </w:r>
          </w:p>
        </w:tc>
        <w:tc>
          <w:tcPr>
            <w:tcW w:w="4863" w:type="dxa"/>
            <w:tcBorders>
              <w:top w:val="single" w:sz="4" w:space="0" w:color="auto"/>
              <w:left w:val="single" w:sz="4" w:space="0" w:color="auto"/>
              <w:bottom w:val="single" w:sz="4" w:space="0" w:color="auto"/>
              <w:right w:val="single" w:sz="4" w:space="0" w:color="auto"/>
            </w:tcBorders>
            <w:noWrap/>
            <w:vAlign w:val="center"/>
            <w:hideMark/>
          </w:tcPr>
          <w:p w:rsidR="0003562B" w:rsidRPr="002F12EA" w:rsidRDefault="0003562B" w:rsidP="0003562B">
            <w:pPr>
              <w:widowControl/>
              <w:snapToGrid/>
              <w:spacing w:before="0" w:after="0" w:line="240" w:lineRule="auto"/>
              <w:rPr>
                <w:rFonts w:ascii="Times New Roman" w:eastAsia="宋体" w:hAnsi="Times New Roman" w:cs="Times New Roman"/>
                <w:color w:val="000000"/>
                <w:kern w:val="0"/>
                <w:sz w:val="24"/>
                <w:szCs w:val="24"/>
              </w:rPr>
            </w:pPr>
            <w:r w:rsidRPr="002F12EA">
              <w:rPr>
                <w:rFonts w:ascii="Times New Roman" w:eastAsia="宋体" w:hAnsi="Times New Roman" w:cs="Times New Roman"/>
                <w:color w:val="000000"/>
                <w:kern w:val="0"/>
                <w:sz w:val="24"/>
                <w:szCs w:val="24"/>
              </w:rPr>
              <w:t>中信里昂证券</w:t>
            </w:r>
          </w:p>
        </w:tc>
      </w:tr>
    </w:tbl>
    <w:p w:rsidR="0003562B" w:rsidRPr="002F12EA" w:rsidRDefault="0003562B">
      <w:pPr>
        <w:rPr>
          <w:rFonts w:ascii="Times New Roman" w:eastAsia="宋体" w:hAnsi="Times New Roman" w:cs="Times New Roman"/>
        </w:rPr>
      </w:pPr>
    </w:p>
    <w:sectPr w:rsidR="0003562B" w:rsidRPr="002F12EA">
      <w:pgSz w:w="11905" w:h="16838"/>
      <w:pgMar w:top="1361" w:right="1417" w:bottom="1361"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77C" w:rsidRDefault="001B177C">
      <w:pPr>
        <w:spacing w:line="240" w:lineRule="auto"/>
        <w:rPr>
          <w:rFonts w:hint="eastAsia"/>
        </w:rPr>
      </w:pPr>
      <w:r>
        <w:separator/>
      </w:r>
    </w:p>
  </w:endnote>
  <w:endnote w:type="continuationSeparator" w:id="0">
    <w:p w:rsidR="001B177C" w:rsidRDefault="001B177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norHAns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77C" w:rsidRDefault="001B177C">
      <w:pPr>
        <w:spacing w:before="0" w:after="0"/>
        <w:rPr>
          <w:rFonts w:hint="eastAsia"/>
        </w:rPr>
      </w:pPr>
      <w:r>
        <w:separator/>
      </w:r>
    </w:p>
  </w:footnote>
  <w:footnote w:type="continuationSeparator" w:id="0">
    <w:p w:rsidR="001B177C" w:rsidRDefault="001B177C">
      <w:pPr>
        <w:spacing w:before="0" w:after="0"/>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3DE"/>
    <w:multiLevelType w:val="multilevel"/>
    <w:tmpl w:val="CEB44BF2"/>
    <w:lvl w:ilvl="0">
      <w:start w:val="1"/>
      <w:numFmt w:val="chineseCounting"/>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chineseCounting"/>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chineseCounting"/>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abstractNum w:abstractNumId="1" w15:restartNumberingAfterBreak="0">
    <w:nsid w:val="7CB87A41"/>
    <w:multiLevelType w:val="multilevel"/>
    <w:tmpl w:val="C0F06598"/>
    <w:lvl w:ilvl="0">
      <w:start w:val="1"/>
      <w:numFmt w:val="chineseCounting"/>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chineseCounting"/>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chineseCounting"/>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OWIzMmQ0ZTZjYmExYWI3NmMxYzZlMjFhZDU5OGUifQ=="/>
  </w:docVars>
  <w:rsids>
    <w:rsidRoot w:val="00E023A0"/>
    <w:rsid w:val="0003562B"/>
    <w:rsid w:val="00127195"/>
    <w:rsid w:val="00144F5E"/>
    <w:rsid w:val="001A0807"/>
    <w:rsid w:val="001A1216"/>
    <w:rsid w:val="001B0D58"/>
    <w:rsid w:val="001B177C"/>
    <w:rsid w:val="00262110"/>
    <w:rsid w:val="002F12EA"/>
    <w:rsid w:val="002F5E93"/>
    <w:rsid w:val="0034159D"/>
    <w:rsid w:val="00356540"/>
    <w:rsid w:val="00360E4B"/>
    <w:rsid w:val="003974A4"/>
    <w:rsid w:val="00442139"/>
    <w:rsid w:val="00480717"/>
    <w:rsid w:val="004F65E6"/>
    <w:rsid w:val="00500759"/>
    <w:rsid w:val="005133BD"/>
    <w:rsid w:val="00552FCC"/>
    <w:rsid w:val="005716C6"/>
    <w:rsid w:val="005929DA"/>
    <w:rsid w:val="00673221"/>
    <w:rsid w:val="00680AC3"/>
    <w:rsid w:val="006D4D98"/>
    <w:rsid w:val="006D6BBB"/>
    <w:rsid w:val="0071773F"/>
    <w:rsid w:val="007452DF"/>
    <w:rsid w:val="00785DED"/>
    <w:rsid w:val="00805AA8"/>
    <w:rsid w:val="008F4B3F"/>
    <w:rsid w:val="008F687C"/>
    <w:rsid w:val="00937E83"/>
    <w:rsid w:val="00962376"/>
    <w:rsid w:val="00A64068"/>
    <w:rsid w:val="00A8531F"/>
    <w:rsid w:val="00A9370F"/>
    <w:rsid w:val="00AA5554"/>
    <w:rsid w:val="00AA6C35"/>
    <w:rsid w:val="00AB48AD"/>
    <w:rsid w:val="00B51C46"/>
    <w:rsid w:val="00B52E13"/>
    <w:rsid w:val="00BC3DAE"/>
    <w:rsid w:val="00C43124"/>
    <w:rsid w:val="00C96E96"/>
    <w:rsid w:val="00CF3DC6"/>
    <w:rsid w:val="00D63B23"/>
    <w:rsid w:val="00D922C8"/>
    <w:rsid w:val="00DA6772"/>
    <w:rsid w:val="00DA7D3B"/>
    <w:rsid w:val="00E023A0"/>
    <w:rsid w:val="00E30CE3"/>
    <w:rsid w:val="00E51533"/>
    <w:rsid w:val="00E92F29"/>
    <w:rsid w:val="00EC5F81"/>
    <w:rsid w:val="00F10389"/>
    <w:rsid w:val="00F21B23"/>
    <w:rsid w:val="00F23E49"/>
    <w:rsid w:val="00F372DD"/>
    <w:rsid w:val="00F8061B"/>
    <w:rsid w:val="00F825D7"/>
    <w:rsid w:val="00FA4996"/>
    <w:rsid w:val="00FB0610"/>
    <w:rsid w:val="00FB27A4"/>
    <w:rsid w:val="00FE28A6"/>
    <w:rsid w:val="0C143F8C"/>
    <w:rsid w:val="0D4E2090"/>
    <w:rsid w:val="10BF4F28"/>
    <w:rsid w:val="124E6A57"/>
    <w:rsid w:val="15B44F69"/>
    <w:rsid w:val="163C4114"/>
    <w:rsid w:val="167B5B2C"/>
    <w:rsid w:val="16A214A7"/>
    <w:rsid w:val="1BEA58FD"/>
    <w:rsid w:val="25EF26A3"/>
    <w:rsid w:val="36633F9E"/>
    <w:rsid w:val="36C67BCD"/>
    <w:rsid w:val="37C63D77"/>
    <w:rsid w:val="390F39AA"/>
    <w:rsid w:val="39A54278"/>
    <w:rsid w:val="40C25CEB"/>
    <w:rsid w:val="48EC59F1"/>
    <w:rsid w:val="4A1A3307"/>
    <w:rsid w:val="4F7715E8"/>
    <w:rsid w:val="4F7F3D17"/>
    <w:rsid w:val="555313D1"/>
    <w:rsid w:val="61334AA0"/>
    <w:rsid w:val="68FC644B"/>
    <w:rsid w:val="73DC651F"/>
    <w:rsid w:val="796C59F8"/>
    <w:rsid w:val="7E61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D0F173-80CB-4654-B57E-CC3E47D9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napToGrid w:val="0"/>
      <w:spacing w:before="60" w:after="60" w:line="312" w:lineRule="auto"/>
    </w:pPr>
    <w:rPr>
      <w:rFonts w:ascii="minorHAnsi" w:eastAsiaTheme="minorEastAsia" w:hAnsi="minorHAnsi" w:cstheme="minorBidi"/>
      <w:color w:val="333333"/>
      <w:kern w:val="2"/>
      <w:sz w:val="22"/>
      <w:szCs w:val="22"/>
    </w:rPr>
  </w:style>
  <w:style w:type="paragraph" w:styleId="1">
    <w:name w:val="heading 1"/>
    <w:basedOn w:val="a"/>
    <w:next w:val="a"/>
    <w:autoRedefine/>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pPr>
      <w:spacing w:before="0" w:after="0" w:line="240" w:lineRule="auto"/>
    </w:pPr>
    <w:rPr>
      <w:sz w:val="18"/>
      <w:szCs w:val="18"/>
    </w:rPr>
  </w:style>
  <w:style w:type="paragraph" w:styleId="a4">
    <w:name w:val="footer"/>
    <w:basedOn w:val="a"/>
    <w:link w:val="Char0"/>
    <w:autoRedefine/>
    <w:uiPriority w:val="99"/>
    <w:unhideWhenUsed/>
    <w:qFormat/>
    <w:pPr>
      <w:tabs>
        <w:tab w:val="center" w:pos="4153"/>
        <w:tab w:val="right" w:pos="8306"/>
      </w:tabs>
      <w:spacing w:line="240" w:lineRule="auto"/>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a6">
    <w:name w:val="Normal (Web)"/>
    <w:basedOn w:val="a"/>
    <w:autoRedefine/>
    <w:uiPriority w:val="99"/>
    <w:semiHidden/>
    <w:unhideWhenUsed/>
    <w:qFormat/>
    <w:rPr>
      <w:sz w:val="24"/>
    </w:rPr>
  </w:style>
  <w:style w:type="paragraph" w:styleId="a7">
    <w:name w:val="Title"/>
    <w:basedOn w:val="a"/>
    <w:next w:val="a"/>
    <w:autoRedefine/>
    <w:uiPriority w:val="10"/>
    <w:qFormat/>
    <w:pPr>
      <w:keepNext/>
      <w:keepLines/>
      <w:spacing w:before="0" w:after="0" w:line="408" w:lineRule="auto"/>
      <w:jc w:val="center"/>
      <w:outlineLvl w:val="0"/>
    </w:pPr>
    <w:rPr>
      <w:b/>
      <w:bCs/>
      <w:color w:val="1A1A1A"/>
      <w:sz w:val="48"/>
      <w:szCs w:val="48"/>
    </w:rPr>
  </w:style>
  <w:style w:type="table" w:styleId="a8">
    <w:name w:val="Table Grid"/>
    <w:basedOn w:val="a1"/>
    <w:autoRedefine/>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paragraph" w:customStyle="1" w:styleId="10">
    <w:name w:val="修订1"/>
    <w:autoRedefine/>
    <w:hidden/>
    <w:uiPriority w:val="99"/>
    <w:semiHidden/>
    <w:qFormat/>
    <w:rPr>
      <w:rFonts w:ascii="minorHAnsi" w:eastAsiaTheme="minorEastAsia" w:hAnsi="minorHAnsi" w:cstheme="minorBidi"/>
      <w:color w:val="333333"/>
      <w:kern w:val="2"/>
      <w:sz w:val="22"/>
      <w:szCs w:val="22"/>
    </w:rPr>
  </w:style>
  <w:style w:type="character" w:customStyle="1" w:styleId="Char">
    <w:name w:val="批注框文本 Char"/>
    <w:basedOn w:val="a0"/>
    <w:link w:val="a3"/>
    <w:autoRedefine/>
    <w:uiPriority w:val="99"/>
    <w:semiHidden/>
    <w:qFormat/>
    <w:rPr>
      <w:rFonts w:ascii="minorHAnsi" w:eastAsiaTheme="minorEastAsia" w:hAnsi="minorHAnsi" w:cstheme="minorBidi"/>
      <w:color w:val="33333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dcterms:created xsi:type="dcterms:W3CDTF">2025-11-17T15:49:00Z</dcterms:created>
  <dcterms:modified xsi:type="dcterms:W3CDTF">2025-11-18T00:13:00Z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71A2EA88C0FE4BFCBB344186987C60AF_13</vt:lpwstr>
  </property>
</Properties>
</file>