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21539">
      <w:pPr>
        <w:spacing w:before="156" w:beforeLines="50" w:after="156" w:afterLines="50" w:line="400" w:lineRule="exact"/>
        <w:rPr>
          <w:rFonts w:ascii="宋体" w:hAnsi="宋体"/>
          <w:bCs/>
          <w:iCs/>
          <w:color w:val="000000"/>
          <w:sz w:val="24"/>
          <w:highlight w:val="none"/>
        </w:rPr>
      </w:pPr>
      <w:r>
        <w:rPr>
          <w:rFonts w:hint="eastAsia" w:ascii="宋体" w:hAnsi="宋体"/>
          <w:bCs/>
          <w:iCs/>
          <w:color w:val="000000"/>
          <w:sz w:val="24"/>
          <w:highlight w:val="none"/>
        </w:rPr>
        <w:t>证券代码：688435                                   证券简称：英方软件</w:t>
      </w:r>
    </w:p>
    <w:p w14:paraId="301A4774">
      <w:pPr>
        <w:spacing w:before="156" w:beforeLines="50" w:after="156" w:afterLines="50" w:line="400" w:lineRule="exact"/>
        <w:jc w:val="center"/>
        <w:rPr>
          <w:rFonts w:ascii="宋体" w:hAnsi="宋体"/>
          <w:b/>
          <w:bCs/>
          <w:iCs/>
          <w:color w:val="000000"/>
          <w:sz w:val="32"/>
          <w:szCs w:val="32"/>
          <w:highlight w:val="none"/>
        </w:rPr>
      </w:pPr>
      <w:r>
        <w:rPr>
          <w:rFonts w:hint="eastAsia" w:ascii="宋体" w:hAnsi="宋体"/>
          <w:b/>
          <w:bCs/>
          <w:iCs/>
          <w:color w:val="000000"/>
          <w:sz w:val="32"/>
          <w:szCs w:val="32"/>
          <w:highlight w:val="none"/>
        </w:rPr>
        <w:t>上海英方软件股份有限公司</w:t>
      </w:r>
    </w:p>
    <w:p w14:paraId="1763587E">
      <w:pPr>
        <w:spacing w:before="156" w:beforeLines="50" w:after="156" w:afterLines="50" w:line="400" w:lineRule="exact"/>
        <w:jc w:val="center"/>
        <w:rPr>
          <w:rFonts w:ascii="宋体" w:hAnsi="宋体"/>
          <w:b/>
          <w:bCs/>
          <w:iCs/>
          <w:color w:val="000000"/>
          <w:sz w:val="32"/>
          <w:szCs w:val="32"/>
          <w:highlight w:val="none"/>
        </w:rPr>
      </w:pPr>
      <w:r>
        <w:rPr>
          <w:rFonts w:hint="eastAsia" w:ascii="宋体" w:hAnsi="宋体"/>
          <w:b/>
          <w:bCs/>
          <w:iCs/>
          <w:color w:val="000000"/>
          <w:sz w:val="32"/>
          <w:szCs w:val="32"/>
          <w:highlight w:val="none"/>
        </w:rPr>
        <w:t>投资者关系活动记录表</w:t>
      </w:r>
    </w:p>
    <w:p w14:paraId="4FB3E1EE">
      <w:pPr>
        <w:spacing w:line="400" w:lineRule="exact"/>
        <w:rPr>
          <w:rFonts w:hint="default" w:ascii="宋体" w:hAnsi="宋体" w:eastAsiaTheme="minorEastAsia"/>
          <w:bCs/>
          <w:iCs/>
          <w:color w:val="000000"/>
          <w:sz w:val="24"/>
          <w:highlight w:val="yellow"/>
          <w:lang w:val="en-US" w:eastAsia="zh-CN"/>
        </w:rPr>
      </w:pPr>
      <w:r>
        <w:rPr>
          <w:rFonts w:hint="eastAsia" w:ascii="宋体" w:hAnsi="宋体"/>
          <w:bCs/>
          <w:iCs/>
          <w:color w:val="000000"/>
          <w:sz w:val="24"/>
          <w:highlight w:val="none"/>
        </w:rPr>
        <w:t xml:space="preserve">                                                      编号：202</w:t>
      </w:r>
      <w:r>
        <w:rPr>
          <w:rFonts w:hint="eastAsia" w:ascii="宋体" w:hAnsi="宋体"/>
          <w:bCs/>
          <w:iCs/>
          <w:color w:val="000000"/>
          <w:sz w:val="24"/>
          <w:highlight w:val="none"/>
          <w:lang w:val="en-US" w:eastAsia="zh-CN"/>
        </w:rPr>
        <w:t>5-009</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7009"/>
      </w:tblGrid>
      <w:tr w14:paraId="441E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23B38CBE">
            <w:pPr>
              <w:spacing w:line="480" w:lineRule="atLeast"/>
              <w:jc w:val="center"/>
              <w:rPr>
                <w:rFonts w:ascii="宋体" w:hAnsi="宋体"/>
                <w:bCs/>
                <w:iCs/>
                <w:color w:val="000000"/>
                <w:sz w:val="24"/>
                <w:highlight w:val="none"/>
              </w:rPr>
            </w:pPr>
            <w:r>
              <w:rPr>
                <w:rFonts w:hint="eastAsia" w:ascii="宋体" w:hAnsi="宋体"/>
                <w:bCs/>
                <w:iCs/>
                <w:color w:val="000000"/>
                <w:sz w:val="24"/>
                <w:highlight w:val="none"/>
              </w:rPr>
              <w:t>投资者关系活动类别</w:t>
            </w:r>
          </w:p>
        </w:tc>
        <w:tc>
          <w:tcPr>
            <w:tcW w:w="7009" w:type="dxa"/>
          </w:tcPr>
          <w:p w14:paraId="05D768B2">
            <w:pPr>
              <w:spacing w:line="360" w:lineRule="auto"/>
              <w:ind w:firstLine="480"/>
              <w:rPr>
                <w:rFonts w:ascii="宋体" w:hAnsi="宋体" w:eastAsia="宋体"/>
                <w:bCs/>
                <w:iCs/>
                <w:sz w:val="24"/>
                <w:szCs w:val="24"/>
                <w:highlight w:val="none"/>
              </w:rPr>
            </w:pPr>
            <w:r>
              <w:rPr>
                <w:rFonts w:hint="eastAsia" w:ascii="宋体" w:hAnsi="宋体" w:eastAsia="宋体"/>
                <w:bCs/>
                <w:iCs/>
                <w:sz w:val="24"/>
                <w:szCs w:val="24"/>
                <w:highlight w:val="none"/>
                <w:lang w:eastAsia="zh-CN"/>
              </w:rPr>
              <w:t>☑</w:t>
            </w:r>
            <w:r>
              <w:rPr>
                <w:rFonts w:hint="eastAsia" w:ascii="宋体" w:hAnsi="宋体" w:eastAsia="宋体"/>
                <w:sz w:val="24"/>
                <w:szCs w:val="24"/>
                <w:highlight w:val="none"/>
              </w:rPr>
              <w:t xml:space="preserve">特定对象调研        </w:t>
            </w:r>
            <w:r>
              <w:rPr>
                <w:rFonts w:hint="eastAsia" w:ascii="宋体" w:hAnsi="宋体" w:eastAsia="宋体"/>
                <w:bCs/>
                <w:iCs/>
                <w:sz w:val="24"/>
                <w:szCs w:val="24"/>
                <w:highlight w:val="none"/>
              </w:rPr>
              <w:t>□</w:t>
            </w:r>
            <w:r>
              <w:rPr>
                <w:rFonts w:hint="eastAsia" w:ascii="宋体" w:hAnsi="宋体" w:eastAsia="宋体"/>
                <w:sz w:val="24"/>
                <w:szCs w:val="24"/>
                <w:highlight w:val="none"/>
              </w:rPr>
              <w:t>分析师会议</w:t>
            </w:r>
          </w:p>
          <w:p w14:paraId="1CFD84FA">
            <w:pPr>
              <w:spacing w:line="360" w:lineRule="auto"/>
              <w:ind w:firstLine="480"/>
              <w:rPr>
                <w:rFonts w:ascii="宋体" w:hAnsi="宋体" w:eastAsia="宋体"/>
                <w:bCs/>
                <w:iCs/>
                <w:sz w:val="24"/>
                <w:szCs w:val="24"/>
                <w:highlight w:val="none"/>
              </w:rPr>
            </w:pPr>
            <w:r>
              <w:rPr>
                <w:rFonts w:hint="eastAsia" w:ascii="宋体" w:hAnsi="宋体" w:eastAsia="宋体"/>
                <w:bCs/>
                <w:iCs/>
                <w:sz w:val="24"/>
                <w:szCs w:val="24"/>
                <w:highlight w:val="none"/>
              </w:rPr>
              <w:t>□</w:t>
            </w:r>
            <w:r>
              <w:rPr>
                <w:rFonts w:hint="eastAsia" w:ascii="宋体" w:hAnsi="宋体" w:eastAsia="宋体"/>
                <w:sz w:val="24"/>
                <w:szCs w:val="24"/>
                <w:highlight w:val="none"/>
              </w:rPr>
              <w:t xml:space="preserve">媒体采访            </w:t>
            </w:r>
            <w:r>
              <w:rPr>
                <w:rFonts w:hint="eastAsia" w:ascii="宋体" w:hAnsi="宋体" w:eastAsia="宋体"/>
                <w:bCs/>
                <w:iCs/>
                <w:sz w:val="24"/>
                <w:szCs w:val="24"/>
                <w:highlight w:val="none"/>
              </w:rPr>
              <w:sym w:font="Wingdings 2" w:char="00A3"/>
            </w:r>
            <w:r>
              <w:rPr>
                <w:rFonts w:hint="eastAsia" w:ascii="宋体" w:hAnsi="宋体" w:eastAsia="宋体"/>
                <w:sz w:val="24"/>
                <w:szCs w:val="24"/>
                <w:highlight w:val="none"/>
              </w:rPr>
              <w:t>业绩说明会</w:t>
            </w:r>
          </w:p>
          <w:p w14:paraId="6FB31B73">
            <w:pPr>
              <w:spacing w:line="360" w:lineRule="auto"/>
              <w:ind w:firstLine="480"/>
              <w:rPr>
                <w:rFonts w:ascii="宋体" w:hAnsi="宋体" w:eastAsia="宋体"/>
                <w:bCs/>
                <w:iCs/>
                <w:sz w:val="24"/>
                <w:szCs w:val="24"/>
                <w:highlight w:val="none"/>
              </w:rPr>
            </w:pPr>
            <w:r>
              <w:rPr>
                <w:rFonts w:hint="eastAsia" w:ascii="宋体" w:hAnsi="宋体" w:eastAsia="宋体"/>
                <w:bCs/>
                <w:iCs/>
                <w:sz w:val="24"/>
                <w:szCs w:val="24"/>
                <w:highlight w:val="none"/>
              </w:rPr>
              <w:t>□</w:t>
            </w:r>
            <w:r>
              <w:rPr>
                <w:rFonts w:hint="eastAsia" w:ascii="宋体" w:hAnsi="宋体" w:eastAsia="宋体"/>
                <w:sz w:val="24"/>
                <w:szCs w:val="24"/>
                <w:highlight w:val="none"/>
              </w:rPr>
              <w:t xml:space="preserve">新闻发布会          </w:t>
            </w:r>
            <w:r>
              <w:rPr>
                <w:rFonts w:hint="eastAsia" w:ascii="宋体" w:hAnsi="宋体" w:eastAsia="宋体"/>
                <w:bCs/>
                <w:iCs/>
                <w:sz w:val="24"/>
                <w:szCs w:val="24"/>
                <w:highlight w:val="none"/>
              </w:rPr>
              <w:t>□</w:t>
            </w:r>
            <w:r>
              <w:rPr>
                <w:rFonts w:hint="eastAsia" w:ascii="宋体" w:hAnsi="宋体" w:eastAsia="宋体"/>
                <w:sz w:val="24"/>
                <w:szCs w:val="24"/>
                <w:highlight w:val="none"/>
              </w:rPr>
              <w:t>路演活动</w:t>
            </w:r>
          </w:p>
          <w:p w14:paraId="1C4BAA30">
            <w:pPr>
              <w:tabs>
                <w:tab w:val="left" w:pos="2690"/>
                <w:tab w:val="center" w:pos="3199"/>
              </w:tabs>
              <w:spacing w:line="360" w:lineRule="auto"/>
              <w:ind w:firstLine="480"/>
              <w:rPr>
                <w:rFonts w:ascii="宋体" w:hAnsi="宋体" w:eastAsia="宋体"/>
                <w:bCs/>
                <w:iCs/>
                <w:sz w:val="24"/>
                <w:szCs w:val="24"/>
                <w:highlight w:val="none"/>
              </w:rPr>
            </w:pPr>
            <w:r>
              <w:rPr>
                <w:rFonts w:hint="eastAsia" w:ascii="宋体" w:hAnsi="宋体" w:eastAsia="宋体"/>
                <w:bCs/>
                <w:iCs/>
                <w:sz w:val="24"/>
                <w:szCs w:val="24"/>
                <w:highlight w:val="none"/>
              </w:rPr>
              <w:t>□</w:t>
            </w:r>
            <w:r>
              <w:rPr>
                <w:rFonts w:hint="eastAsia" w:ascii="宋体" w:hAnsi="宋体" w:eastAsia="宋体"/>
                <w:sz w:val="24"/>
                <w:szCs w:val="24"/>
                <w:highlight w:val="none"/>
              </w:rPr>
              <w:t xml:space="preserve">现场参观            </w:t>
            </w:r>
            <w:r>
              <w:rPr>
                <w:rFonts w:hint="eastAsia" w:ascii="宋体" w:hAnsi="宋体" w:eastAsia="宋体"/>
                <w:bCs/>
                <w:iCs/>
                <w:sz w:val="24"/>
                <w:szCs w:val="24"/>
                <w:highlight w:val="none"/>
              </w:rPr>
              <w:t>□</w:t>
            </w:r>
            <w:r>
              <w:rPr>
                <w:rFonts w:hint="eastAsia" w:ascii="宋体" w:hAnsi="宋体" w:eastAsia="宋体"/>
                <w:sz w:val="24"/>
                <w:szCs w:val="24"/>
                <w:highlight w:val="none"/>
              </w:rPr>
              <w:t>电话会议</w:t>
            </w:r>
          </w:p>
          <w:p w14:paraId="326E8A06">
            <w:pPr>
              <w:tabs>
                <w:tab w:val="center" w:pos="3199"/>
              </w:tabs>
              <w:spacing w:line="480" w:lineRule="atLeast"/>
              <w:ind w:firstLine="480" w:firstLineChars="200"/>
              <w:rPr>
                <w:rFonts w:ascii="宋体" w:hAnsi="宋体"/>
                <w:bCs/>
                <w:iCs/>
                <w:color w:val="000000"/>
                <w:sz w:val="24"/>
                <w:highlight w:val="none"/>
              </w:rPr>
            </w:pPr>
            <w:r>
              <w:rPr>
                <w:rFonts w:hint="eastAsia" w:ascii="宋体" w:hAnsi="宋体" w:eastAsia="宋体"/>
                <w:bCs/>
                <w:iCs/>
                <w:sz w:val="24"/>
                <w:szCs w:val="24"/>
                <w:highlight w:val="none"/>
              </w:rPr>
              <w:t>□</w:t>
            </w:r>
            <w:r>
              <w:rPr>
                <w:rFonts w:hint="eastAsia" w:ascii="宋体" w:hAnsi="宋体" w:eastAsia="宋体"/>
                <w:sz w:val="24"/>
                <w:szCs w:val="24"/>
                <w:highlight w:val="none"/>
              </w:rPr>
              <w:t>其他 （</w:t>
            </w:r>
            <w:r>
              <w:rPr>
                <w:rFonts w:hint="eastAsia" w:ascii="宋体" w:hAnsi="宋体" w:eastAsia="宋体"/>
                <w:sz w:val="24"/>
                <w:szCs w:val="24"/>
                <w:highlight w:val="none"/>
                <w:u w:val="single"/>
              </w:rPr>
              <w:t>请文字说明其他活动内容）</w:t>
            </w:r>
          </w:p>
        </w:tc>
      </w:tr>
      <w:tr w14:paraId="7BE4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13" w:type="dxa"/>
            <w:vAlign w:val="center"/>
          </w:tcPr>
          <w:p w14:paraId="2E9310E8">
            <w:pPr>
              <w:spacing w:line="480" w:lineRule="atLeast"/>
              <w:jc w:val="center"/>
              <w:rPr>
                <w:rFonts w:ascii="宋体" w:hAnsi="宋体"/>
                <w:bCs/>
                <w:iCs/>
                <w:color w:val="000000"/>
                <w:sz w:val="24"/>
                <w:highlight w:val="none"/>
              </w:rPr>
            </w:pPr>
            <w:r>
              <w:rPr>
                <w:rFonts w:hint="eastAsia" w:ascii="宋体" w:hAnsi="宋体"/>
                <w:bCs/>
                <w:iCs/>
                <w:color w:val="000000"/>
                <w:sz w:val="24"/>
                <w:highlight w:val="none"/>
              </w:rPr>
              <w:t>参与单位名称</w:t>
            </w:r>
          </w:p>
        </w:tc>
        <w:tc>
          <w:tcPr>
            <w:tcW w:w="7009" w:type="dxa"/>
            <w:vAlign w:val="center"/>
          </w:tcPr>
          <w:p w14:paraId="7707E6BE">
            <w:pPr>
              <w:spacing w:line="360" w:lineRule="auto"/>
              <w:rPr>
                <w:rFonts w:hint="default" w:ascii="宋体" w:hAnsi="宋体" w:eastAsiaTheme="minorEastAsia"/>
                <w:sz w:val="24"/>
                <w:szCs w:val="21"/>
                <w:highlight w:val="none"/>
                <w:lang w:val="en-US" w:eastAsia="zh-CN"/>
              </w:rPr>
            </w:pPr>
            <w:r>
              <w:rPr>
                <w:rFonts w:hint="eastAsia" w:ascii="宋体" w:hAnsi="宋体"/>
                <w:sz w:val="24"/>
                <w:szCs w:val="21"/>
                <w:highlight w:val="none"/>
                <w:lang w:val="en-US" w:eastAsia="zh-CN"/>
              </w:rPr>
              <w:t>安联基金、兴业证券、华福证券、上海季胜投资、上海呈瑞投资、加峰投资、诺安基金、九通投资、渤源资产、星元投资、臻宜投资、上海润滋资产、上海毓璜投资、前海人寿保险股份有限公司、西部利得等</w:t>
            </w:r>
          </w:p>
        </w:tc>
      </w:tr>
      <w:tr w14:paraId="4983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13" w:type="dxa"/>
            <w:vAlign w:val="center"/>
          </w:tcPr>
          <w:p w14:paraId="7E9E053C">
            <w:pPr>
              <w:spacing w:line="480" w:lineRule="atLeast"/>
              <w:jc w:val="center"/>
              <w:rPr>
                <w:rFonts w:ascii="宋体" w:hAnsi="宋体"/>
                <w:bCs/>
                <w:iCs/>
                <w:color w:val="000000"/>
                <w:sz w:val="24"/>
                <w:highlight w:val="none"/>
              </w:rPr>
            </w:pPr>
            <w:r>
              <w:rPr>
                <w:rFonts w:hint="eastAsia" w:ascii="宋体" w:hAnsi="宋体"/>
                <w:bCs/>
                <w:iCs/>
                <w:color w:val="000000"/>
                <w:sz w:val="24"/>
                <w:highlight w:val="none"/>
              </w:rPr>
              <w:t>时间</w:t>
            </w:r>
          </w:p>
        </w:tc>
        <w:tc>
          <w:tcPr>
            <w:tcW w:w="7009" w:type="dxa"/>
          </w:tcPr>
          <w:p w14:paraId="78C9ED2E">
            <w:pPr>
              <w:spacing w:line="480" w:lineRule="atLeast"/>
              <w:rPr>
                <w:rFonts w:hint="default" w:ascii="宋体" w:hAnsi="宋体"/>
                <w:bCs/>
                <w:iCs/>
                <w:color w:val="000000"/>
                <w:sz w:val="24"/>
                <w:highlight w:val="none"/>
                <w:lang w:val="en-US"/>
              </w:rPr>
            </w:pPr>
            <w:r>
              <w:rPr>
                <w:rFonts w:hint="eastAsia" w:ascii="宋体" w:hAnsi="宋体"/>
                <w:bCs/>
                <w:iCs/>
                <w:color w:val="000000"/>
                <w:sz w:val="24"/>
                <w:highlight w:val="none"/>
              </w:rPr>
              <w:t>202</w:t>
            </w:r>
            <w:r>
              <w:rPr>
                <w:rFonts w:hint="eastAsia" w:ascii="宋体" w:hAnsi="宋体"/>
                <w:bCs/>
                <w:iCs/>
                <w:color w:val="000000"/>
                <w:sz w:val="24"/>
                <w:highlight w:val="none"/>
                <w:lang w:val="en-US" w:eastAsia="zh-CN"/>
              </w:rPr>
              <w:t>5</w:t>
            </w:r>
            <w:r>
              <w:rPr>
                <w:rFonts w:hint="eastAsia" w:ascii="宋体" w:hAnsi="宋体"/>
                <w:bCs/>
                <w:iCs/>
                <w:color w:val="000000"/>
                <w:sz w:val="24"/>
                <w:highlight w:val="none"/>
              </w:rPr>
              <w:t>年</w:t>
            </w:r>
            <w:r>
              <w:rPr>
                <w:rFonts w:hint="eastAsia" w:ascii="宋体" w:hAnsi="宋体"/>
                <w:bCs/>
                <w:iCs/>
                <w:color w:val="000000"/>
                <w:sz w:val="24"/>
                <w:highlight w:val="none"/>
                <w:lang w:val="en-US" w:eastAsia="zh-CN"/>
              </w:rPr>
              <w:t>11月19日、2025年11月20日</w:t>
            </w:r>
          </w:p>
        </w:tc>
      </w:tr>
      <w:tr w14:paraId="1587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13" w:type="dxa"/>
            <w:vAlign w:val="center"/>
          </w:tcPr>
          <w:p w14:paraId="483FACD8">
            <w:pPr>
              <w:spacing w:line="360" w:lineRule="auto"/>
              <w:jc w:val="center"/>
              <w:rPr>
                <w:rFonts w:ascii="宋体" w:hAnsi="宋体"/>
                <w:bCs/>
                <w:iCs/>
                <w:color w:val="000000"/>
                <w:sz w:val="24"/>
                <w:highlight w:val="none"/>
              </w:rPr>
            </w:pPr>
            <w:r>
              <w:rPr>
                <w:rFonts w:hint="eastAsia" w:ascii="宋体" w:hAnsi="宋体"/>
                <w:bCs/>
                <w:iCs/>
                <w:color w:val="000000"/>
                <w:sz w:val="24"/>
                <w:highlight w:val="none"/>
              </w:rPr>
              <w:t>地点</w:t>
            </w:r>
          </w:p>
        </w:tc>
        <w:tc>
          <w:tcPr>
            <w:tcW w:w="7009" w:type="dxa"/>
            <w:vAlign w:val="center"/>
          </w:tcPr>
          <w:p w14:paraId="3BFEB20E">
            <w:pPr>
              <w:spacing w:line="360" w:lineRule="auto"/>
              <w:rPr>
                <w:rFonts w:hint="default" w:ascii="宋体" w:hAnsi="宋体" w:eastAsiaTheme="minorEastAsia"/>
                <w:bCs/>
                <w:iCs/>
                <w:color w:val="000000"/>
                <w:sz w:val="24"/>
                <w:highlight w:val="none"/>
                <w:lang w:val="en-US" w:eastAsia="zh-CN"/>
              </w:rPr>
            </w:pPr>
            <w:r>
              <w:rPr>
                <w:rFonts w:hint="eastAsia" w:ascii="宋体" w:hAnsi="宋体"/>
                <w:bCs/>
                <w:iCs/>
                <w:color w:val="000000"/>
                <w:sz w:val="24"/>
                <w:highlight w:val="none"/>
                <w:lang w:val="en-US" w:eastAsia="zh-CN"/>
              </w:rPr>
              <w:t>公司会议室</w:t>
            </w:r>
          </w:p>
        </w:tc>
      </w:tr>
      <w:tr w14:paraId="6489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6B847AE9">
            <w:pPr>
              <w:spacing w:line="276" w:lineRule="auto"/>
              <w:jc w:val="center"/>
              <w:rPr>
                <w:rFonts w:ascii="宋体" w:hAnsi="宋体"/>
                <w:bCs/>
                <w:iCs/>
                <w:color w:val="000000"/>
                <w:sz w:val="24"/>
                <w:highlight w:val="none"/>
              </w:rPr>
            </w:pPr>
            <w:r>
              <w:rPr>
                <w:rFonts w:hint="eastAsia" w:ascii="宋体" w:hAnsi="宋体"/>
                <w:bCs/>
                <w:iCs/>
                <w:color w:val="000000"/>
                <w:sz w:val="24"/>
                <w:highlight w:val="none"/>
              </w:rPr>
              <w:t>上市公司接待</w:t>
            </w:r>
          </w:p>
          <w:p w14:paraId="5CF42C2B">
            <w:pPr>
              <w:spacing w:line="276" w:lineRule="auto"/>
              <w:jc w:val="center"/>
              <w:rPr>
                <w:rFonts w:ascii="宋体" w:hAnsi="宋体"/>
                <w:bCs/>
                <w:iCs/>
                <w:color w:val="000000"/>
                <w:sz w:val="24"/>
                <w:highlight w:val="none"/>
              </w:rPr>
            </w:pPr>
            <w:r>
              <w:rPr>
                <w:rFonts w:hint="eastAsia" w:ascii="宋体" w:hAnsi="宋体"/>
                <w:bCs/>
                <w:iCs/>
                <w:color w:val="000000"/>
                <w:sz w:val="24"/>
                <w:highlight w:val="none"/>
              </w:rPr>
              <w:t>人员姓名</w:t>
            </w:r>
          </w:p>
        </w:tc>
        <w:tc>
          <w:tcPr>
            <w:tcW w:w="7009" w:type="dxa"/>
            <w:vAlign w:val="center"/>
          </w:tcPr>
          <w:p w14:paraId="3C64C928">
            <w:pPr>
              <w:spacing w:line="276" w:lineRule="auto"/>
              <w:jc w:val="left"/>
              <w:rPr>
                <w:rFonts w:hint="eastAsia" w:ascii="宋体" w:hAnsi="宋体"/>
                <w:bCs/>
                <w:iCs/>
                <w:color w:val="000000"/>
                <w:sz w:val="24"/>
                <w:highlight w:val="none"/>
              </w:rPr>
            </w:pPr>
            <w:r>
              <w:rPr>
                <w:rFonts w:hint="eastAsia" w:ascii="宋体" w:hAnsi="宋体"/>
                <w:bCs/>
                <w:iCs/>
                <w:color w:val="000000"/>
                <w:sz w:val="24"/>
                <w:highlight w:val="none"/>
              </w:rPr>
              <w:t>董事会秘书</w:t>
            </w:r>
            <w:r>
              <w:rPr>
                <w:rFonts w:hint="eastAsia" w:ascii="宋体" w:hAnsi="宋体"/>
                <w:bCs/>
                <w:iCs/>
                <w:color w:val="000000"/>
                <w:sz w:val="24"/>
                <w:highlight w:val="none"/>
                <w:lang w:eastAsia="zh-CN"/>
              </w:rPr>
              <w:t>：</w:t>
            </w:r>
            <w:r>
              <w:rPr>
                <w:rFonts w:hint="eastAsia" w:ascii="宋体" w:hAnsi="宋体"/>
                <w:bCs/>
                <w:iCs/>
                <w:color w:val="000000"/>
                <w:sz w:val="24"/>
                <w:highlight w:val="none"/>
              </w:rPr>
              <w:t>沈蔡娟</w:t>
            </w:r>
          </w:p>
          <w:p w14:paraId="7A00183C">
            <w:pPr>
              <w:spacing w:line="276" w:lineRule="auto"/>
              <w:jc w:val="left"/>
              <w:rPr>
                <w:rFonts w:hint="default" w:ascii="宋体" w:hAnsi="宋体" w:eastAsiaTheme="minorEastAsia"/>
                <w:bCs/>
                <w:iCs/>
                <w:color w:val="000000"/>
                <w:sz w:val="24"/>
                <w:highlight w:val="none"/>
                <w:lang w:val="en-US" w:eastAsia="zh-CN"/>
              </w:rPr>
            </w:pPr>
            <w:r>
              <w:rPr>
                <w:rFonts w:hint="eastAsia" w:ascii="宋体" w:hAnsi="宋体"/>
                <w:bCs/>
                <w:iCs/>
                <w:color w:val="000000"/>
                <w:sz w:val="24"/>
                <w:highlight w:val="none"/>
                <w:lang w:val="en-US" w:eastAsia="zh-CN"/>
              </w:rPr>
              <w:t>市场兼</w:t>
            </w:r>
            <w:bookmarkStart w:id="0" w:name="_GoBack"/>
            <w:bookmarkEnd w:id="0"/>
            <w:r>
              <w:rPr>
                <w:rFonts w:hint="eastAsia" w:ascii="宋体" w:hAnsi="宋体"/>
                <w:bCs/>
                <w:iCs/>
                <w:color w:val="000000"/>
                <w:sz w:val="24"/>
                <w:highlight w:val="none"/>
                <w:lang w:val="en-US" w:eastAsia="zh-CN"/>
              </w:rPr>
              <w:t>渠道总监：</w:t>
            </w:r>
            <w:r>
              <w:rPr>
                <w:rFonts w:hint="eastAsia" w:ascii="宋体" w:hAnsi="宋体"/>
                <w:sz w:val="24"/>
                <w:szCs w:val="21"/>
                <w:highlight w:val="none"/>
                <w:lang w:val="en-US" w:eastAsia="zh-CN"/>
              </w:rPr>
              <w:t>黄亮</w:t>
            </w:r>
          </w:p>
        </w:tc>
      </w:tr>
      <w:tr w14:paraId="3BD4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2FB841CF">
            <w:pPr>
              <w:spacing w:line="360" w:lineRule="auto"/>
              <w:rPr>
                <w:rFonts w:ascii="宋体" w:hAnsi="宋体"/>
                <w:bCs/>
                <w:iCs/>
                <w:color w:val="000000"/>
                <w:sz w:val="24"/>
                <w:highlight w:val="none"/>
              </w:rPr>
            </w:pPr>
            <w:r>
              <w:rPr>
                <w:rFonts w:hint="eastAsia" w:ascii="宋体" w:hAnsi="宋体"/>
                <w:bCs/>
                <w:iCs/>
                <w:color w:val="000000"/>
                <w:sz w:val="24"/>
                <w:highlight w:val="none"/>
              </w:rPr>
              <w:t>投资者关系活动主要内容介绍</w:t>
            </w:r>
          </w:p>
          <w:p w14:paraId="45FB91E7">
            <w:pPr>
              <w:spacing w:line="360" w:lineRule="auto"/>
              <w:rPr>
                <w:rFonts w:ascii="宋体" w:hAnsi="宋体"/>
                <w:bCs/>
                <w:iCs/>
                <w:color w:val="000000"/>
                <w:sz w:val="24"/>
                <w:highlight w:val="yellow"/>
              </w:rPr>
            </w:pPr>
          </w:p>
        </w:tc>
        <w:tc>
          <w:tcPr>
            <w:tcW w:w="7009" w:type="dxa"/>
          </w:tcPr>
          <w:p w14:paraId="2535E571">
            <w:pPr>
              <w:pStyle w:val="25"/>
              <w:spacing w:before="156"/>
              <w:ind w:firstLine="480"/>
              <w:rPr>
                <w:rFonts w:ascii="宋体" w:hAnsi="宋体"/>
                <w:b/>
                <w:bCs/>
                <w:sz w:val="24"/>
                <w:szCs w:val="21"/>
                <w:highlight w:val="none"/>
              </w:rPr>
            </w:pPr>
            <w:r>
              <w:rPr>
                <w:rFonts w:hint="eastAsia" w:ascii="宋体" w:hAnsi="宋体"/>
                <w:b/>
                <w:bCs/>
                <w:sz w:val="24"/>
                <w:szCs w:val="21"/>
                <w:highlight w:val="none"/>
                <w:lang w:eastAsia="zh-CN"/>
              </w:rPr>
              <w:t>（</w:t>
            </w:r>
            <w:r>
              <w:rPr>
                <w:rFonts w:hint="eastAsia" w:ascii="宋体" w:hAnsi="宋体"/>
                <w:b/>
                <w:bCs/>
                <w:sz w:val="24"/>
                <w:szCs w:val="21"/>
                <w:highlight w:val="none"/>
                <w:lang w:val="en-US" w:eastAsia="zh-CN"/>
              </w:rPr>
              <w:t>1</w:t>
            </w:r>
            <w:r>
              <w:rPr>
                <w:rFonts w:hint="eastAsia" w:ascii="宋体" w:hAnsi="宋体"/>
                <w:b/>
                <w:bCs/>
                <w:sz w:val="24"/>
                <w:szCs w:val="21"/>
                <w:highlight w:val="none"/>
                <w:lang w:eastAsia="zh-CN"/>
              </w:rPr>
              <w:t>）</w:t>
            </w:r>
            <w:r>
              <w:rPr>
                <w:rFonts w:hint="eastAsia" w:ascii="宋体" w:hAnsi="宋体"/>
                <w:b/>
                <w:bCs/>
                <w:sz w:val="24"/>
                <w:szCs w:val="21"/>
                <w:highlight w:val="none"/>
              </w:rPr>
              <w:t>公司介绍</w:t>
            </w:r>
          </w:p>
          <w:p w14:paraId="758DF083">
            <w:pPr>
              <w:pStyle w:val="25"/>
              <w:spacing w:before="156"/>
              <w:ind w:firstLine="480"/>
              <w:rPr>
                <w:rFonts w:hint="eastAsia" w:ascii="宋体" w:hAnsi="宋体" w:cs="宋体"/>
                <w:sz w:val="24"/>
                <w:highlight w:val="none"/>
                <w:lang w:bidi="en-US"/>
              </w:rPr>
            </w:pPr>
            <w:r>
              <w:rPr>
                <w:rFonts w:hint="eastAsia" w:ascii="宋体" w:hAnsi="宋体" w:cs="宋体"/>
                <w:sz w:val="24"/>
                <w:highlight w:val="none"/>
                <w:lang w:bidi="en-US"/>
              </w:rPr>
              <w:t>上海英方软件股份有限公司（以下简称“英方软件”）是一家专注于数据复制的软件企业，创于2011年，总部位于上海，拥有庞大的研发团队和经验丰富的领军人物，设立了北京、上海、杭州三大研发中心，建成了北京到上海上千公里的数据复制实时平台，主营业务系为客户提供数据复制相关的软件、软硬件一体机及软件相关服务，是国内乃至国际市场上少数能同时掌握动态文件字节级、数据库语义级和卷层块级数据复制技术的高新技术企业。公司构造了“容灾+备份+云数据管理+大数据”等多层次、多策略、全域应用的四大产品系列，相关产品覆盖了容灾、备份、云灾备、数据库同步、数据迁移、文档共享与AI管理等经典应用场景，同时也推广到了智能灾备管理、数据副本管理、数据流管理、大数据收集分发、大数据平台实时同步、数据脱敏等更多应用领域。在助力各行业的数据安全和业务连续性的同时，帮助各类用户打破数据孤岛，实现数据互联互通，将数据价值最大化，为数字经济的发展保驾护航。</w:t>
            </w:r>
          </w:p>
          <w:p w14:paraId="73678142">
            <w:pPr>
              <w:pStyle w:val="25"/>
              <w:spacing w:before="156"/>
              <w:ind w:firstLine="480"/>
              <w:rPr>
                <w:rFonts w:hint="eastAsia" w:ascii="宋体" w:hAnsi="宋体" w:cs="宋体"/>
                <w:sz w:val="24"/>
                <w:highlight w:val="none"/>
                <w:lang w:bidi="en-US"/>
              </w:rPr>
            </w:pPr>
            <w:r>
              <w:rPr>
                <w:rFonts w:hint="eastAsia" w:ascii="宋体" w:hAnsi="宋体" w:cs="宋体"/>
                <w:sz w:val="24"/>
                <w:highlight w:val="none"/>
                <w:lang w:bidi="en-US"/>
              </w:rPr>
              <w:t>2025年上半年公司持续夯实各大产品线的功能和稳定性，同时结合客户新的应用场景和需求，不断衍生出新的软件产品及功能，公司推出了多场景的国产化替代和备份创新新产品：i2Backup V9，同时，英方软件全系列产品共计推出数十项突破性功能升级迭代：包括i2Share-AI、i2DRM新增平台数据备份能力、i2Stream与i2Active的多元化同步链路等。英方软件表示，将不停地在“Data+”的应用实践积累的基础上，根据不同行业客户对产品新需求的要求，研发共性强、可复制的新产品。展望未来，公司将持续加大在前沿技术、行业生态和全球化发展方面的投入，进一步提升产品竞争力与服务能力，为数字中国和全球数据安全建设贡献力量。</w:t>
            </w:r>
          </w:p>
          <w:p w14:paraId="070FD6B5">
            <w:pPr>
              <w:pStyle w:val="25"/>
              <w:spacing w:before="156"/>
              <w:ind w:firstLine="480"/>
              <w:rPr>
                <w:rFonts w:hint="eastAsia" w:ascii="宋体" w:hAnsi="宋体" w:cs="宋体"/>
                <w:sz w:val="24"/>
                <w:highlight w:val="none"/>
                <w:lang w:bidi="en-US"/>
              </w:rPr>
            </w:pPr>
            <w:r>
              <w:rPr>
                <w:rFonts w:hint="eastAsia" w:ascii="宋体" w:hAnsi="宋体" w:cs="宋体"/>
                <w:sz w:val="24"/>
                <w:highlight w:val="none"/>
                <w:lang w:bidi="en-US"/>
              </w:rPr>
              <w:t>在国内市场稳步发展的同时，英方软件的海外业务也展现出强劲的增长势头。公司在中国香港、中国澳门、东南亚、中东和北非等区域的市场表现日益强劲，随着全球数据安全需求的日益增长，英方软件的国际化战略稳步推进。海外业务的持续拓展，推动了公司收入增长，并显著提升了全球市场的竞争力。英方软件的全球布局和品牌影响力在不断扩大，未来将在更多国际市场上实现更大突破。</w:t>
            </w:r>
          </w:p>
          <w:p w14:paraId="3174707F">
            <w:pPr>
              <w:pStyle w:val="25"/>
              <w:spacing w:before="156"/>
              <w:ind w:firstLine="480"/>
              <w:rPr>
                <w:rFonts w:hint="eastAsia" w:ascii="宋体" w:hAnsi="宋体" w:cs="宋体"/>
                <w:sz w:val="24"/>
                <w:highlight w:val="none"/>
                <w:lang w:bidi="en-US"/>
              </w:rPr>
            </w:pPr>
            <w:r>
              <w:rPr>
                <w:rFonts w:hint="eastAsia" w:ascii="宋体" w:hAnsi="宋体" w:cs="宋体"/>
                <w:sz w:val="24"/>
                <w:highlight w:val="none"/>
                <w:lang w:bidi="en-US"/>
              </w:rPr>
              <w:t>展望未来，英方软件将继续加强技术研发和产品创新，深入挖掘数据安全和业务连续性保障领域的巨大潜力。公司将加速推动现有技术成果的市场转化，增强产品竞争力，提升客户体验，并进一步推动业务增长和市场份额的扩展。英方软件将坚定不移地执行创新驱动发展战略，持续加大研发投入，不断提升核心技术水平，努力为股东和客户创造长期价值。</w:t>
            </w:r>
          </w:p>
          <w:p w14:paraId="3ED8FA3C">
            <w:pPr>
              <w:pStyle w:val="25"/>
              <w:spacing w:before="156"/>
              <w:ind w:firstLine="480"/>
              <w:rPr>
                <w:rFonts w:hint="default" w:ascii="宋体" w:hAnsi="宋体" w:eastAsia="宋体"/>
                <w:sz w:val="24"/>
                <w:szCs w:val="21"/>
                <w:highlight w:val="none"/>
                <w:lang w:val="en-US" w:eastAsia="zh-CN"/>
              </w:rPr>
            </w:pPr>
            <w:r>
              <w:rPr>
                <w:rFonts w:hint="eastAsia" w:ascii="宋体" w:hAnsi="宋体"/>
                <w:b/>
                <w:bCs/>
                <w:sz w:val="24"/>
                <w:szCs w:val="21"/>
                <w:highlight w:val="none"/>
              </w:rPr>
              <w:t>（2）互动交流环节</w:t>
            </w:r>
            <w:r>
              <w:rPr>
                <w:rFonts w:hint="eastAsia" w:ascii="宋体" w:hAnsi="宋体"/>
                <w:b/>
                <w:bCs/>
                <w:sz w:val="24"/>
                <w:szCs w:val="21"/>
                <w:highlight w:val="none"/>
                <w:lang w:val="en-US" w:eastAsia="zh-CN"/>
              </w:rPr>
              <w:t>主要问答</w:t>
            </w:r>
          </w:p>
          <w:p w14:paraId="0B793352">
            <w:pPr>
              <w:pStyle w:val="25"/>
              <w:spacing w:before="156"/>
              <w:ind w:firstLine="480"/>
              <w:rPr>
                <w:rFonts w:hint="eastAsia" w:ascii="宋体" w:hAnsi="宋体" w:cs="Times New Roman"/>
                <w:b/>
                <w:bCs/>
                <w:sz w:val="24"/>
                <w:szCs w:val="21"/>
                <w:highlight w:val="none"/>
                <w:lang w:val="en-US" w:eastAsia="zh-CN"/>
              </w:rPr>
            </w:pPr>
            <w:r>
              <w:rPr>
                <w:rFonts w:hint="eastAsia" w:ascii="宋体" w:hAnsi="宋体" w:cs="Times New Roman"/>
                <w:b/>
                <w:bCs/>
                <w:sz w:val="24"/>
                <w:szCs w:val="21"/>
                <w:highlight w:val="none"/>
                <w:lang w:val="en-US" w:eastAsia="zh-CN"/>
              </w:rPr>
              <w:t>1.公司开发的备份产品目前进展如何？介绍一下该产品的技术优势和特点？</w:t>
            </w:r>
          </w:p>
          <w:p w14:paraId="604934BE">
            <w:pPr>
              <w:pStyle w:val="25"/>
              <w:spacing w:before="156"/>
              <w:ind w:firstLine="480"/>
              <w:rPr>
                <w:rFonts w:hint="eastAsia"/>
                <w:color w:val="000000"/>
                <w:highlight w:val="none"/>
                <w:lang w:val="en-US" w:eastAsia="zh-CN"/>
              </w:rPr>
            </w:pPr>
            <w:r>
              <w:rPr>
                <w:rFonts w:hint="eastAsia"/>
                <w:color w:val="000000"/>
                <w:highlight w:val="none"/>
                <w:lang w:val="en-US" w:eastAsia="zh-CN"/>
              </w:rPr>
              <w:t>2025年上半年，公司发布新一代备份产品 i2Backup V9，可解决客户新环境新应用下的海量系统和海量数据的多域多中心的备份，还在数据备份速率、数据重删和压缩、数据防勒索，以及数据归档管理等方面，实现弯道追赶，并在国产化适配、磁带库归档等方面突破行业诸多挑战，在金融、党政等领域存在大量潜在的信创替代的机会。 同时，在信创适配方面，i2Backup V9已全面兼容飞腾、鲲鹏、龙芯等主流国产硬件平台，适配主流信创数据库与操作系统，达到国际先进水平，为行业提供“数据安全+自主可控”的信创灾备新路径，为自主可控国产替代的平滑过渡打下坚实基础；公司还积极参与新一代信息技术和国产基础软件生态产业的发展，探索国产替代领域的数据复制应用场景，确保公司的技术更新迭代满足客户日益变化的应用需求。英方软件一贯严格遵守信息披露相关规定，未来，也将在合规前提下适时披露相关业务进展。</w:t>
            </w:r>
          </w:p>
          <w:p w14:paraId="13939946">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b/>
                <w:bCs/>
                <w:color w:val="000000"/>
                <w:sz w:val="24"/>
                <w:szCs w:val="24"/>
                <w:highlight w:val="none"/>
                <w:lang w:val="en-US" w:eastAsia="zh-CN"/>
              </w:rPr>
            </w:pPr>
            <w:r>
              <w:rPr>
                <w:rFonts w:hint="eastAsia" w:ascii="宋体" w:hAnsi="宋体"/>
                <w:b/>
                <w:bCs/>
                <w:sz w:val="24"/>
                <w:szCs w:val="24"/>
                <w:highlight w:val="none"/>
                <w:lang w:val="en-US" w:eastAsia="zh-CN"/>
              </w:rPr>
              <w:t>2.</w:t>
            </w:r>
            <w:r>
              <w:rPr>
                <w:rFonts w:hint="eastAsia" w:ascii="宋体" w:hAnsi="宋体" w:eastAsia="宋体" w:cs="Times New Roman"/>
                <w:b/>
                <w:bCs/>
                <w:kern w:val="2"/>
                <w:sz w:val="24"/>
                <w:szCs w:val="21"/>
                <w:highlight w:val="none"/>
                <w:lang w:val="en-US" w:eastAsia="zh-CN" w:bidi="ar-SA"/>
              </w:rPr>
              <w:t>公司</w:t>
            </w:r>
            <w:r>
              <w:rPr>
                <w:rFonts w:hint="eastAsia"/>
                <w:b/>
                <w:bCs/>
                <w:color w:val="000000"/>
                <w:sz w:val="24"/>
                <w:szCs w:val="24"/>
                <w:highlight w:val="none"/>
                <w:lang w:val="en-US" w:eastAsia="zh-CN"/>
              </w:rPr>
              <w:t>对今年的整体展望如何</w:t>
            </w:r>
            <w:r>
              <w:rPr>
                <w:rFonts w:hint="default"/>
                <w:b/>
                <w:bCs/>
                <w:color w:val="000000"/>
                <w:sz w:val="24"/>
                <w:szCs w:val="24"/>
                <w:highlight w:val="none"/>
                <w:lang w:val="en-US" w:eastAsia="zh-CN"/>
              </w:rPr>
              <w:t>？</w:t>
            </w:r>
          </w:p>
          <w:p w14:paraId="6BC56CC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color w:val="000000"/>
                <w:sz w:val="24"/>
                <w:szCs w:val="24"/>
                <w:highlight w:val="none"/>
                <w:lang w:val="en-US" w:eastAsia="zh-CN"/>
              </w:rPr>
            </w:pPr>
            <w:r>
              <w:rPr>
                <w:rFonts w:hint="default"/>
                <w:color w:val="000000"/>
                <w:sz w:val="24"/>
                <w:szCs w:val="24"/>
                <w:highlight w:val="none"/>
                <w:lang w:val="en-US" w:eastAsia="zh-CN"/>
              </w:rPr>
              <w:t>对于公司202</w:t>
            </w:r>
            <w:r>
              <w:rPr>
                <w:rFonts w:hint="eastAsia"/>
                <w:color w:val="000000"/>
                <w:sz w:val="24"/>
                <w:szCs w:val="24"/>
                <w:highlight w:val="none"/>
                <w:lang w:val="en-US" w:eastAsia="zh-CN"/>
              </w:rPr>
              <w:t>5</w:t>
            </w:r>
            <w:r>
              <w:rPr>
                <w:rFonts w:hint="default"/>
                <w:color w:val="000000"/>
                <w:sz w:val="24"/>
                <w:szCs w:val="24"/>
                <w:highlight w:val="none"/>
                <w:lang w:val="en-US" w:eastAsia="zh-CN"/>
              </w:rPr>
              <w:t>年的整体展望，我们秉持"稳健增长、蓄势未来"的积极态度。我们正迎来数字化转型深化与信创政策推进的双重机遇，这对我们数据复制与灾备业务的发展构成了持续驱动。公司将持续聚焦核心技术迭代与行业场景深耕，通过完善的数据管理解决方案，重点服务金融、政务、</w:t>
            </w:r>
            <w:r>
              <w:rPr>
                <w:rFonts w:hint="eastAsia"/>
                <w:color w:val="000000"/>
                <w:sz w:val="24"/>
                <w:szCs w:val="24"/>
                <w:highlight w:val="none"/>
                <w:lang w:val="en-US" w:eastAsia="zh-CN"/>
              </w:rPr>
              <w:t>医疗、</w:t>
            </w:r>
            <w:r>
              <w:rPr>
                <w:rFonts w:hint="default"/>
                <w:color w:val="000000"/>
                <w:sz w:val="24"/>
                <w:szCs w:val="24"/>
                <w:highlight w:val="none"/>
                <w:lang w:val="en-US" w:eastAsia="zh-CN"/>
              </w:rPr>
              <w:t>运营商等关键领域。</w:t>
            </w:r>
            <w:r>
              <w:rPr>
                <w:rFonts w:hint="eastAsia"/>
                <w:color w:val="000000"/>
                <w:sz w:val="24"/>
                <w:szCs w:val="24"/>
                <w:highlight w:val="none"/>
                <w:lang w:val="en-US" w:eastAsia="zh-CN"/>
              </w:rPr>
              <w:t>公司未来会持续投入研发</w:t>
            </w:r>
            <w:r>
              <w:rPr>
                <w:rFonts w:hint="default"/>
                <w:color w:val="000000"/>
                <w:sz w:val="24"/>
                <w:szCs w:val="24"/>
                <w:highlight w:val="none"/>
                <w:lang w:val="en-US" w:eastAsia="zh-CN"/>
              </w:rPr>
              <w:t>，旨在持续巩固在动态字节级复制、数据库语义级复制等核心技术上的领先地位，并加强国产化生态合作。基于完善的产品布局和持续的技术创新，并通过精细化运营实现盈利能力的持续提升。</w:t>
            </w:r>
          </w:p>
          <w:p w14:paraId="61CF67F7">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b/>
                <w:bCs/>
                <w:color w:val="000000"/>
                <w:sz w:val="24"/>
                <w:szCs w:val="24"/>
                <w:highlight w:val="none"/>
                <w:lang w:val="en-US" w:eastAsia="zh-CN"/>
              </w:rPr>
            </w:pPr>
            <w:r>
              <w:rPr>
                <w:rFonts w:hint="eastAsia" w:ascii="宋体" w:hAnsi="宋体" w:eastAsia="宋体" w:cs="Times New Roman"/>
                <w:b/>
                <w:bCs/>
                <w:kern w:val="2"/>
                <w:sz w:val="24"/>
                <w:szCs w:val="21"/>
                <w:highlight w:val="none"/>
                <w:lang w:val="en-US" w:eastAsia="zh-CN" w:bidi="ar-SA"/>
              </w:rPr>
              <w:t>3.公司与华为的关系</w:t>
            </w:r>
            <w:r>
              <w:rPr>
                <w:rFonts w:hint="default"/>
                <w:b/>
                <w:bCs/>
                <w:color w:val="000000"/>
                <w:sz w:val="24"/>
                <w:szCs w:val="24"/>
                <w:highlight w:val="none"/>
                <w:lang w:val="en-US" w:eastAsia="zh-CN"/>
              </w:rPr>
              <w:t>？</w:t>
            </w:r>
            <w:r>
              <w:rPr>
                <w:rFonts w:hint="eastAsia"/>
                <w:b/>
                <w:bCs/>
                <w:color w:val="000000"/>
                <w:sz w:val="24"/>
                <w:szCs w:val="24"/>
                <w:highlight w:val="none"/>
                <w:lang w:val="en-US" w:eastAsia="zh-CN"/>
              </w:rPr>
              <w:t>怎样的合作模式？</w:t>
            </w:r>
          </w:p>
          <w:p w14:paraId="4A9C5C8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color w:val="000000"/>
                <w:sz w:val="24"/>
                <w:szCs w:val="24"/>
                <w:highlight w:val="none"/>
                <w:lang w:val="en-US" w:eastAsia="zh-CN"/>
              </w:rPr>
            </w:pPr>
            <w:r>
              <w:rPr>
                <w:rFonts w:hint="default"/>
                <w:color w:val="000000"/>
                <w:sz w:val="24"/>
                <w:szCs w:val="24"/>
                <w:highlight w:val="none"/>
                <w:lang w:val="en-US" w:eastAsia="zh-CN"/>
              </w:rPr>
              <w:t>公司与华为公司是战略合作伙伴关系，公司是华为及华为云产品供应商，成立专门团队与华为各个团队进行对接，目前在容灾备份、异构数据库复制、云灾备等方面开展合作，借助华为在全国乃至全球的销售网络，能够扩大公司的销售渠道。</w:t>
            </w:r>
          </w:p>
          <w:p w14:paraId="7B7A5EB6">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Times New Roman"/>
                <w:b/>
                <w:bCs/>
                <w:kern w:val="2"/>
                <w:sz w:val="24"/>
                <w:szCs w:val="21"/>
                <w:highlight w:val="none"/>
                <w:lang w:val="en-US" w:eastAsia="zh-CN" w:bidi="ar-SA"/>
              </w:rPr>
            </w:pPr>
            <w:r>
              <w:rPr>
                <w:rFonts w:hint="eastAsia" w:ascii="宋体" w:hAnsi="宋体" w:eastAsia="宋体" w:cs="Times New Roman"/>
                <w:b/>
                <w:bCs/>
                <w:kern w:val="2"/>
                <w:sz w:val="24"/>
                <w:szCs w:val="21"/>
                <w:highlight w:val="none"/>
                <w:lang w:val="en-US" w:eastAsia="zh-CN" w:bidi="ar-SA"/>
              </w:rPr>
              <w:t>4.公司与AI的结合情况是怎样的？</w:t>
            </w:r>
          </w:p>
          <w:p w14:paraId="12BF3B4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color w:val="000000"/>
                <w:sz w:val="24"/>
                <w:szCs w:val="24"/>
                <w:highlight w:val="none"/>
                <w:lang w:val="en-US" w:eastAsia="zh-CN"/>
              </w:rPr>
            </w:pPr>
            <w:r>
              <w:rPr>
                <w:rFonts w:hint="default"/>
                <w:color w:val="000000"/>
                <w:sz w:val="24"/>
                <w:szCs w:val="24"/>
                <w:highlight w:val="none"/>
                <w:lang w:val="en-US" w:eastAsia="zh-CN"/>
              </w:rPr>
              <w:t>AI</w:t>
            </w:r>
            <w:r>
              <w:rPr>
                <w:rFonts w:hint="eastAsia"/>
                <w:color w:val="000000"/>
                <w:sz w:val="24"/>
                <w:szCs w:val="24"/>
                <w:highlight w:val="none"/>
                <w:lang w:val="en-US" w:eastAsia="zh-CN"/>
              </w:rPr>
              <w:t>已</w:t>
            </w:r>
            <w:r>
              <w:rPr>
                <w:rFonts w:hint="default"/>
                <w:color w:val="000000"/>
                <w:sz w:val="24"/>
                <w:szCs w:val="24"/>
                <w:highlight w:val="none"/>
                <w:lang w:val="en-US" w:eastAsia="zh-CN"/>
              </w:rPr>
              <w:t>与公司现有产品</w:t>
            </w:r>
            <w:r>
              <w:rPr>
                <w:rFonts w:hint="eastAsia"/>
                <w:color w:val="000000"/>
                <w:sz w:val="24"/>
                <w:szCs w:val="24"/>
                <w:highlight w:val="none"/>
                <w:lang w:val="en-US" w:eastAsia="zh-CN"/>
              </w:rPr>
              <w:t>进行了</w:t>
            </w:r>
            <w:r>
              <w:rPr>
                <w:rFonts w:hint="default"/>
                <w:color w:val="000000"/>
                <w:sz w:val="24"/>
                <w:szCs w:val="24"/>
                <w:highlight w:val="none"/>
                <w:lang w:val="en-US" w:eastAsia="zh-CN"/>
              </w:rPr>
              <w:t>整合</w:t>
            </w:r>
            <w:r>
              <w:rPr>
                <w:rFonts w:hint="eastAsia"/>
                <w:color w:val="000000"/>
                <w:sz w:val="24"/>
                <w:szCs w:val="24"/>
                <w:highlight w:val="none"/>
                <w:lang w:val="en-US" w:eastAsia="zh-CN"/>
              </w:rPr>
              <w:t>，已推出i2ShareAI智能数据管理平台</w:t>
            </w:r>
            <w:r>
              <w:rPr>
                <w:rFonts w:hint="default"/>
                <w:color w:val="000000"/>
                <w:sz w:val="24"/>
                <w:szCs w:val="24"/>
                <w:highlight w:val="none"/>
                <w:lang w:val="en-US" w:eastAsia="zh-CN"/>
              </w:rPr>
              <w:t>，不仅提升了数据检索能力，还增强了数据管理和灾备功能，帮助客户更高效地管理数据，确保数据安全。面向人工智能的新场景、新需求，公司将根据客户的需求，不断推出新的一体机产品和新功能，持续提高一体机硬件产品的销售力度，争取在备份市场和集采领域取得突破。</w:t>
            </w:r>
          </w:p>
          <w:p w14:paraId="4065D60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5</w:t>
            </w:r>
            <w:r>
              <w:rPr>
                <w:rFonts w:hint="eastAsia"/>
                <w:b/>
                <w:bCs/>
                <w:color w:val="000000"/>
                <w:sz w:val="24"/>
                <w:szCs w:val="24"/>
                <w:highlight w:val="none"/>
                <w:lang w:val="en-US" w:eastAsia="zh-CN"/>
              </w:rPr>
              <w:t>.数据库厂商不做相关的迁移么，他们没有相关的产品吗？</w:t>
            </w:r>
          </w:p>
          <w:p w14:paraId="4E2DB6C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kern w:val="2"/>
                <w:sz w:val="24"/>
                <w:szCs w:val="24"/>
                <w:lang w:val="en-US" w:eastAsia="zh-CN" w:bidi="ar-SA"/>
              </w:rPr>
            </w:pPr>
            <w:r>
              <w:rPr>
                <w:rFonts w:hint="default" w:ascii="宋体" w:hAnsi="宋体" w:cs="宋体"/>
                <w:color w:val="auto"/>
                <w:kern w:val="2"/>
                <w:sz w:val="24"/>
                <w:szCs w:val="24"/>
                <w:lang w:val="en-US" w:eastAsia="zh-CN" w:bidi="ar-SA"/>
              </w:rPr>
              <w:t>在数据迁移领域，部分国内数据库厂商确实提供了与其自身产品配套的迁移工具，但这些工具通常专注于其自有生态内的</w:t>
            </w:r>
            <w:r>
              <w:rPr>
                <w:rFonts w:hint="eastAsia" w:ascii="宋体" w:hAnsi="宋体" w:cs="宋体"/>
                <w:color w:val="auto"/>
                <w:kern w:val="2"/>
                <w:sz w:val="24"/>
                <w:szCs w:val="24"/>
                <w:lang w:val="en-US" w:eastAsia="zh-CN" w:bidi="ar-SA"/>
              </w:rPr>
              <w:t>迁移</w:t>
            </w:r>
            <w:r>
              <w:rPr>
                <w:rFonts w:hint="default" w:ascii="宋体" w:hAnsi="宋体" w:cs="宋体"/>
                <w:color w:val="auto"/>
                <w:kern w:val="2"/>
                <w:sz w:val="24"/>
                <w:szCs w:val="24"/>
                <w:lang w:val="en-US" w:eastAsia="zh-CN" w:bidi="ar-SA"/>
              </w:rPr>
              <w:t>，在面对跨品牌、多类型的异构数据库迁移场景时，往往存在适配范围有限、技术通用性不足的问题。</w:t>
            </w:r>
          </w:p>
          <w:p w14:paraId="536D6A5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kern w:val="2"/>
                <w:sz w:val="24"/>
                <w:szCs w:val="24"/>
                <w:lang w:val="en-US" w:eastAsia="zh-CN" w:bidi="ar-SA"/>
              </w:rPr>
            </w:pPr>
            <w:r>
              <w:rPr>
                <w:rFonts w:hint="default" w:ascii="宋体" w:hAnsi="宋体" w:cs="宋体"/>
                <w:color w:val="auto"/>
                <w:kern w:val="2"/>
                <w:sz w:val="24"/>
                <w:szCs w:val="24"/>
                <w:lang w:val="en-US" w:eastAsia="zh-CN" w:bidi="ar-SA"/>
              </w:rPr>
              <w:t>由于异构数据库迁移对数据一致性、业务连续性以及迁移效率均有极高要求，需要长期的专业技术积累与持续的研发投入，因此市场上多数客户在面临此类复杂任务时，更倾向于选择专注于数据复制的第三方商业化工具。</w:t>
            </w:r>
          </w:p>
          <w:p w14:paraId="1CEA9BC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color w:val="000000"/>
                <w:sz w:val="24"/>
                <w:szCs w:val="24"/>
                <w:highlight w:val="none"/>
                <w:lang w:val="en-US" w:eastAsia="zh-CN"/>
              </w:rPr>
            </w:pPr>
            <w:r>
              <w:rPr>
                <w:rFonts w:hint="default" w:ascii="宋体" w:hAnsi="宋体" w:cs="宋体"/>
                <w:color w:val="auto"/>
                <w:kern w:val="2"/>
                <w:sz w:val="24"/>
                <w:szCs w:val="24"/>
                <w:lang w:val="en-US" w:eastAsia="zh-CN" w:bidi="ar-SA"/>
              </w:rPr>
              <w:t>英方软件作为中立的第三方数据复制厂商，已与国内主流数据库企业完成了广泛的产品兼容互认证，并在金融、政务等重要行业拥有成熟的迁移案例。我们能够基于对异构环境的深度支持能力，为客户提供安全、稳定、高效的数据库迁移解决方案。</w:t>
            </w:r>
          </w:p>
        </w:tc>
      </w:tr>
      <w:tr w14:paraId="726C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6FB51469">
            <w:pPr>
              <w:spacing w:line="360" w:lineRule="auto"/>
              <w:rPr>
                <w:rFonts w:ascii="宋体" w:hAnsi="宋体"/>
                <w:bCs/>
                <w:iCs/>
                <w:color w:val="000000"/>
                <w:sz w:val="24"/>
                <w:highlight w:val="none"/>
              </w:rPr>
            </w:pPr>
            <w:r>
              <w:rPr>
                <w:rFonts w:ascii="宋体" w:hAnsi="宋体"/>
                <w:bCs/>
                <w:iCs/>
                <w:color w:val="000000"/>
                <w:sz w:val="24"/>
                <w:highlight w:val="none"/>
              </w:rPr>
              <w:t xml:space="preserve">附件清单（如有） </w:t>
            </w:r>
          </w:p>
        </w:tc>
        <w:tc>
          <w:tcPr>
            <w:tcW w:w="7009" w:type="dxa"/>
            <w:vAlign w:val="center"/>
          </w:tcPr>
          <w:p w14:paraId="3C72AE43">
            <w:pPr>
              <w:spacing w:line="360" w:lineRule="auto"/>
              <w:rPr>
                <w:rFonts w:ascii="宋体" w:hAnsi="宋体"/>
                <w:bCs/>
                <w:iCs/>
                <w:color w:val="000000"/>
                <w:sz w:val="24"/>
                <w:highlight w:val="none"/>
              </w:rPr>
            </w:pPr>
            <w:r>
              <w:rPr>
                <w:rFonts w:hint="eastAsia" w:ascii="宋体" w:hAnsi="宋体"/>
                <w:bCs/>
                <w:iCs/>
                <w:color w:val="000000"/>
                <w:sz w:val="24"/>
                <w:highlight w:val="none"/>
              </w:rPr>
              <w:t>无</w:t>
            </w:r>
          </w:p>
        </w:tc>
      </w:tr>
      <w:tr w14:paraId="1AAD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6F8799EF">
            <w:pPr>
              <w:spacing w:line="360" w:lineRule="auto"/>
              <w:jc w:val="center"/>
              <w:rPr>
                <w:rFonts w:ascii="宋体" w:hAnsi="宋体"/>
                <w:bCs/>
                <w:iCs/>
                <w:color w:val="000000"/>
                <w:sz w:val="24"/>
                <w:highlight w:val="none"/>
              </w:rPr>
            </w:pPr>
            <w:r>
              <w:rPr>
                <w:rFonts w:hint="eastAsia" w:ascii="宋体" w:hAnsi="宋体"/>
                <w:bCs/>
                <w:iCs/>
                <w:color w:val="000000"/>
                <w:sz w:val="24"/>
                <w:highlight w:val="none"/>
              </w:rPr>
              <w:t>日期</w:t>
            </w:r>
          </w:p>
        </w:tc>
        <w:tc>
          <w:tcPr>
            <w:tcW w:w="7009" w:type="dxa"/>
            <w:vAlign w:val="center"/>
          </w:tcPr>
          <w:p w14:paraId="0642838F">
            <w:pPr>
              <w:spacing w:line="360" w:lineRule="auto"/>
              <w:rPr>
                <w:rFonts w:ascii="宋体" w:hAnsi="宋体"/>
                <w:bCs/>
                <w:iCs/>
                <w:color w:val="000000"/>
                <w:sz w:val="24"/>
                <w:highlight w:val="none"/>
              </w:rPr>
            </w:pPr>
            <w:r>
              <w:rPr>
                <w:rFonts w:hint="eastAsia" w:ascii="宋体" w:hAnsi="宋体"/>
                <w:bCs/>
                <w:iCs/>
                <w:color w:val="000000"/>
                <w:sz w:val="24"/>
                <w:highlight w:val="none"/>
              </w:rPr>
              <w:t>20</w:t>
            </w:r>
            <w:r>
              <w:rPr>
                <w:rFonts w:ascii="宋体" w:hAnsi="宋体"/>
                <w:bCs/>
                <w:iCs/>
                <w:color w:val="000000"/>
                <w:sz w:val="24"/>
                <w:highlight w:val="none"/>
              </w:rPr>
              <w:t>2</w:t>
            </w:r>
            <w:r>
              <w:rPr>
                <w:rFonts w:hint="eastAsia" w:ascii="宋体" w:hAnsi="宋体"/>
                <w:bCs/>
                <w:iCs/>
                <w:color w:val="000000"/>
                <w:sz w:val="24"/>
                <w:highlight w:val="none"/>
                <w:lang w:val="en-US" w:eastAsia="zh-CN"/>
              </w:rPr>
              <w:t>5</w:t>
            </w:r>
            <w:r>
              <w:rPr>
                <w:rFonts w:hint="eastAsia" w:ascii="宋体" w:hAnsi="宋体"/>
                <w:bCs/>
                <w:iCs/>
                <w:color w:val="000000"/>
                <w:sz w:val="24"/>
                <w:highlight w:val="none"/>
              </w:rPr>
              <w:t>年</w:t>
            </w:r>
            <w:r>
              <w:rPr>
                <w:rFonts w:hint="eastAsia" w:ascii="宋体" w:hAnsi="宋体"/>
                <w:bCs/>
                <w:iCs/>
                <w:color w:val="000000"/>
                <w:sz w:val="24"/>
                <w:highlight w:val="none"/>
                <w:lang w:val="en-US" w:eastAsia="zh-CN"/>
              </w:rPr>
              <w:t>11</w:t>
            </w:r>
            <w:r>
              <w:rPr>
                <w:rFonts w:hint="eastAsia" w:ascii="宋体" w:hAnsi="宋体"/>
                <w:bCs/>
                <w:iCs/>
                <w:color w:val="000000"/>
                <w:sz w:val="24"/>
                <w:highlight w:val="none"/>
              </w:rPr>
              <w:t>月</w:t>
            </w:r>
          </w:p>
        </w:tc>
      </w:tr>
    </w:tbl>
    <w:p w14:paraId="50C3BF69">
      <w:pPr>
        <w:widowControl/>
        <w:jc w:val="left"/>
        <w:rPr>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ZjViNzI2NzFjNmI5NTFlN2UzMjNkNWYyMzdlOTkifQ=="/>
  </w:docVars>
  <w:rsids>
    <w:rsidRoot w:val="00907AA5"/>
    <w:rsid w:val="00035D2C"/>
    <w:rsid w:val="00054467"/>
    <w:rsid w:val="00062355"/>
    <w:rsid w:val="0006573D"/>
    <w:rsid w:val="00081366"/>
    <w:rsid w:val="000976CB"/>
    <w:rsid w:val="000B335E"/>
    <w:rsid w:val="000B7FAD"/>
    <w:rsid w:val="000C0A51"/>
    <w:rsid w:val="000D33F6"/>
    <w:rsid w:val="000E4B16"/>
    <w:rsid w:val="000F4D5F"/>
    <w:rsid w:val="00103A33"/>
    <w:rsid w:val="001057DB"/>
    <w:rsid w:val="00112B54"/>
    <w:rsid w:val="00124C9C"/>
    <w:rsid w:val="00131F47"/>
    <w:rsid w:val="00153D01"/>
    <w:rsid w:val="0016141B"/>
    <w:rsid w:val="0016246C"/>
    <w:rsid w:val="0016659B"/>
    <w:rsid w:val="001871D6"/>
    <w:rsid w:val="001940DF"/>
    <w:rsid w:val="001C1FFD"/>
    <w:rsid w:val="001C6D89"/>
    <w:rsid w:val="001D1897"/>
    <w:rsid w:val="001F2FDC"/>
    <w:rsid w:val="001F6A53"/>
    <w:rsid w:val="00230EE5"/>
    <w:rsid w:val="0023557C"/>
    <w:rsid w:val="0024568A"/>
    <w:rsid w:val="0025174B"/>
    <w:rsid w:val="002660F3"/>
    <w:rsid w:val="00270394"/>
    <w:rsid w:val="002A1899"/>
    <w:rsid w:val="002A4B9A"/>
    <w:rsid w:val="002C08C9"/>
    <w:rsid w:val="003039FA"/>
    <w:rsid w:val="00320313"/>
    <w:rsid w:val="0037673B"/>
    <w:rsid w:val="00383F8C"/>
    <w:rsid w:val="00397ABA"/>
    <w:rsid w:val="003A2691"/>
    <w:rsid w:val="003B1531"/>
    <w:rsid w:val="003B4E38"/>
    <w:rsid w:val="003D7149"/>
    <w:rsid w:val="003E3A99"/>
    <w:rsid w:val="00400BEE"/>
    <w:rsid w:val="00443C87"/>
    <w:rsid w:val="00444C44"/>
    <w:rsid w:val="00452CDD"/>
    <w:rsid w:val="00453980"/>
    <w:rsid w:val="00456F4C"/>
    <w:rsid w:val="00473824"/>
    <w:rsid w:val="00494439"/>
    <w:rsid w:val="004A48F7"/>
    <w:rsid w:val="004C0C6E"/>
    <w:rsid w:val="004D3744"/>
    <w:rsid w:val="004E18E4"/>
    <w:rsid w:val="00506587"/>
    <w:rsid w:val="00513FDB"/>
    <w:rsid w:val="00521F29"/>
    <w:rsid w:val="005457B4"/>
    <w:rsid w:val="00547A95"/>
    <w:rsid w:val="005562E9"/>
    <w:rsid w:val="00565CBB"/>
    <w:rsid w:val="0056752E"/>
    <w:rsid w:val="00587CDD"/>
    <w:rsid w:val="005A0F28"/>
    <w:rsid w:val="005C3B58"/>
    <w:rsid w:val="005D14B5"/>
    <w:rsid w:val="005D3623"/>
    <w:rsid w:val="005E7811"/>
    <w:rsid w:val="005F1972"/>
    <w:rsid w:val="00615EC7"/>
    <w:rsid w:val="006274D0"/>
    <w:rsid w:val="00634127"/>
    <w:rsid w:val="0064264E"/>
    <w:rsid w:val="00655619"/>
    <w:rsid w:val="00693040"/>
    <w:rsid w:val="00694A61"/>
    <w:rsid w:val="006A3D9A"/>
    <w:rsid w:val="006F2BE0"/>
    <w:rsid w:val="00752478"/>
    <w:rsid w:val="0078554E"/>
    <w:rsid w:val="0079056C"/>
    <w:rsid w:val="007906EC"/>
    <w:rsid w:val="007922E7"/>
    <w:rsid w:val="00793F45"/>
    <w:rsid w:val="007C279C"/>
    <w:rsid w:val="007C3675"/>
    <w:rsid w:val="007C770C"/>
    <w:rsid w:val="007E3A9B"/>
    <w:rsid w:val="00803617"/>
    <w:rsid w:val="00804C00"/>
    <w:rsid w:val="0081771C"/>
    <w:rsid w:val="00825818"/>
    <w:rsid w:val="00861607"/>
    <w:rsid w:val="00884602"/>
    <w:rsid w:val="0089311C"/>
    <w:rsid w:val="008A04D2"/>
    <w:rsid w:val="00907AA5"/>
    <w:rsid w:val="00914677"/>
    <w:rsid w:val="0092359A"/>
    <w:rsid w:val="009647B7"/>
    <w:rsid w:val="00982B5B"/>
    <w:rsid w:val="009A24D2"/>
    <w:rsid w:val="009D66DC"/>
    <w:rsid w:val="009E612F"/>
    <w:rsid w:val="009F4B8F"/>
    <w:rsid w:val="00A2072F"/>
    <w:rsid w:val="00A23E71"/>
    <w:rsid w:val="00A4497E"/>
    <w:rsid w:val="00A65C79"/>
    <w:rsid w:val="00AD31A0"/>
    <w:rsid w:val="00B03471"/>
    <w:rsid w:val="00B05289"/>
    <w:rsid w:val="00B428D4"/>
    <w:rsid w:val="00B4496D"/>
    <w:rsid w:val="00B457BA"/>
    <w:rsid w:val="00B50874"/>
    <w:rsid w:val="00B869F3"/>
    <w:rsid w:val="00B945FD"/>
    <w:rsid w:val="00B95355"/>
    <w:rsid w:val="00BA5388"/>
    <w:rsid w:val="00BA56F4"/>
    <w:rsid w:val="00BA680C"/>
    <w:rsid w:val="00BB4088"/>
    <w:rsid w:val="00BB6B7D"/>
    <w:rsid w:val="00BC23C1"/>
    <w:rsid w:val="00BC50A6"/>
    <w:rsid w:val="00BE0DA7"/>
    <w:rsid w:val="00BF3B19"/>
    <w:rsid w:val="00BF7123"/>
    <w:rsid w:val="00C1132F"/>
    <w:rsid w:val="00C115FB"/>
    <w:rsid w:val="00C60B00"/>
    <w:rsid w:val="00C87D0F"/>
    <w:rsid w:val="00C94D1E"/>
    <w:rsid w:val="00C95D38"/>
    <w:rsid w:val="00CB5B0F"/>
    <w:rsid w:val="00CB628D"/>
    <w:rsid w:val="00CC5F19"/>
    <w:rsid w:val="00CD4F4D"/>
    <w:rsid w:val="00CE7CDB"/>
    <w:rsid w:val="00D109BC"/>
    <w:rsid w:val="00D11273"/>
    <w:rsid w:val="00D13893"/>
    <w:rsid w:val="00D14267"/>
    <w:rsid w:val="00D17B26"/>
    <w:rsid w:val="00D24D2C"/>
    <w:rsid w:val="00D2667B"/>
    <w:rsid w:val="00D304E2"/>
    <w:rsid w:val="00D30929"/>
    <w:rsid w:val="00D43E8B"/>
    <w:rsid w:val="00D51945"/>
    <w:rsid w:val="00D75783"/>
    <w:rsid w:val="00D902F5"/>
    <w:rsid w:val="00DB385E"/>
    <w:rsid w:val="00DC39B0"/>
    <w:rsid w:val="00DF0083"/>
    <w:rsid w:val="00E00B7F"/>
    <w:rsid w:val="00E02931"/>
    <w:rsid w:val="00E0671B"/>
    <w:rsid w:val="00E22EA9"/>
    <w:rsid w:val="00E35D51"/>
    <w:rsid w:val="00E41004"/>
    <w:rsid w:val="00E41A04"/>
    <w:rsid w:val="00E51509"/>
    <w:rsid w:val="00E55598"/>
    <w:rsid w:val="00EA2D7D"/>
    <w:rsid w:val="00EB1594"/>
    <w:rsid w:val="00EC6259"/>
    <w:rsid w:val="00ED0943"/>
    <w:rsid w:val="00ED17BA"/>
    <w:rsid w:val="00ED6D17"/>
    <w:rsid w:val="00F01E74"/>
    <w:rsid w:val="00F31D0F"/>
    <w:rsid w:val="00F34116"/>
    <w:rsid w:val="00F34D15"/>
    <w:rsid w:val="00F94B3D"/>
    <w:rsid w:val="00FA61D1"/>
    <w:rsid w:val="00FC69E5"/>
    <w:rsid w:val="00FF279D"/>
    <w:rsid w:val="026E141F"/>
    <w:rsid w:val="027B6D79"/>
    <w:rsid w:val="04C87066"/>
    <w:rsid w:val="05DE1F43"/>
    <w:rsid w:val="073164B5"/>
    <w:rsid w:val="0A4056A9"/>
    <w:rsid w:val="0AB02BCD"/>
    <w:rsid w:val="0AEB20D2"/>
    <w:rsid w:val="0D046532"/>
    <w:rsid w:val="0F5645BD"/>
    <w:rsid w:val="10797AFB"/>
    <w:rsid w:val="11337CBF"/>
    <w:rsid w:val="14147227"/>
    <w:rsid w:val="14FF3DDD"/>
    <w:rsid w:val="166A2EB1"/>
    <w:rsid w:val="16E235F1"/>
    <w:rsid w:val="1A986F4F"/>
    <w:rsid w:val="1D074E56"/>
    <w:rsid w:val="1DAA6C81"/>
    <w:rsid w:val="1DE826EC"/>
    <w:rsid w:val="1E6D231E"/>
    <w:rsid w:val="1F171D44"/>
    <w:rsid w:val="1F5B6C81"/>
    <w:rsid w:val="1F5E3D65"/>
    <w:rsid w:val="22FF2F22"/>
    <w:rsid w:val="23775F59"/>
    <w:rsid w:val="24E23D7C"/>
    <w:rsid w:val="25416D14"/>
    <w:rsid w:val="25C01E7E"/>
    <w:rsid w:val="26DF7048"/>
    <w:rsid w:val="26F57EA0"/>
    <w:rsid w:val="270C409F"/>
    <w:rsid w:val="27C7486A"/>
    <w:rsid w:val="27E06986"/>
    <w:rsid w:val="28700AC7"/>
    <w:rsid w:val="2AB51407"/>
    <w:rsid w:val="2B601F23"/>
    <w:rsid w:val="2F3839FD"/>
    <w:rsid w:val="2F437013"/>
    <w:rsid w:val="2F5922B5"/>
    <w:rsid w:val="2F835A02"/>
    <w:rsid w:val="316E496E"/>
    <w:rsid w:val="346C0F8D"/>
    <w:rsid w:val="34AD36A4"/>
    <w:rsid w:val="34E24AFB"/>
    <w:rsid w:val="34E50FB5"/>
    <w:rsid w:val="35ED5885"/>
    <w:rsid w:val="371170C8"/>
    <w:rsid w:val="38795420"/>
    <w:rsid w:val="396A0841"/>
    <w:rsid w:val="3AC64E24"/>
    <w:rsid w:val="3B645409"/>
    <w:rsid w:val="3B966657"/>
    <w:rsid w:val="3E0F64B4"/>
    <w:rsid w:val="3F204B9F"/>
    <w:rsid w:val="401873FE"/>
    <w:rsid w:val="40221ED0"/>
    <w:rsid w:val="40624D42"/>
    <w:rsid w:val="40EC58C2"/>
    <w:rsid w:val="42487538"/>
    <w:rsid w:val="438F3899"/>
    <w:rsid w:val="448E592F"/>
    <w:rsid w:val="456D41C6"/>
    <w:rsid w:val="469519CD"/>
    <w:rsid w:val="486017CE"/>
    <w:rsid w:val="488D48BB"/>
    <w:rsid w:val="48C61172"/>
    <w:rsid w:val="49314456"/>
    <w:rsid w:val="49F92FBC"/>
    <w:rsid w:val="4A506A7B"/>
    <w:rsid w:val="4AC31770"/>
    <w:rsid w:val="4B04143D"/>
    <w:rsid w:val="4BE97027"/>
    <w:rsid w:val="4C8B34F6"/>
    <w:rsid w:val="4CA8313E"/>
    <w:rsid w:val="4CE723A1"/>
    <w:rsid w:val="4E3F7116"/>
    <w:rsid w:val="4E4610A1"/>
    <w:rsid w:val="4F4B58B4"/>
    <w:rsid w:val="4F734876"/>
    <w:rsid w:val="501E4BFD"/>
    <w:rsid w:val="547877AD"/>
    <w:rsid w:val="5587376C"/>
    <w:rsid w:val="564F0FD5"/>
    <w:rsid w:val="588C69A8"/>
    <w:rsid w:val="58E95FEA"/>
    <w:rsid w:val="5C3E620B"/>
    <w:rsid w:val="5D993739"/>
    <w:rsid w:val="5DAB1F64"/>
    <w:rsid w:val="606C2A77"/>
    <w:rsid w:val="60F45BE7"/>
    <w:rsid w:val="62A156F1"/>
    <w:rsid w:val="63AF3EC4"/>
    <w:rsid w:val="641E0D86"/>
    <w:rsid w:val="648A23AF"/>
    <w:rsid w:val="6A1D41BC"/>
    <w:rsid w:val="6A7B723E"/>
    <w:rsid w:val="6CD773CF"/>
    <w:rsid w:val="6F8E06AB"/>
    <w:rsid w:val="70D6480D"/>
    <w:rsid w:val="71136A90"/>
    <w:rsid w:val="739972EB"/>
    <w:rsid w:val="73DF15F2"/>
    <w:rsid w:val="748E002A"/>
    <w:rsid w:val="74AE1D28"/>
    <w:rsid w:val="77683805"/>
    <w:rsid w:val="78206C22"/>
    <w:rsid w:val="792D3904"/>
    <w:rsid w:val="798D4BFB"/>
    <w:rsid w:val="7A9274BD"/>
    <w:rsid w:val="7AFD55E3"/>
    <w:rsid w:val="7C0670B3"/>
    <w:rsid w:val="7D540579"/>
    <w:rsid w:val="7DA82479"/>
    <w:rsid w:val="7E5B5B46"/>
    <w:rsid w:val="7E747B3F"/>
    <w:rsid w:val="7F610F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ind w:left="100" w:leftChars="100" w:right="100" w:rightChars="100"/>
      <w:outlineLvl w:val="1"/>
    </w:pPr>
    <w:rPr>
      <w:rFonts w:asciiTheme="majorHAnsi" w:hAnsiTheme="majorHAnsi"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unhideWhenUsed/>
    <w:qFormat/>
    <w:uiPriority w:val="99"/>
    <w:rPr>
      <w:rFonts w:ascii="宋体" w:eastAsia="宋体"/>
      <w:sz w:val="18"/>
      <w:szCs w:val="18"/>
    </w:rPr>
  </w:style>
  <w:style w:type="paragraph" w:styleId="4">
    <w:name w:val="annotation text"/>
    <w:basedOn w:val="1"/>
    <w:link w:val="23"/>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0"/>
    <w:semiHidden/>
    <w:unhideWhenUsed/>
    <w:qFormat/>
    <w:uiPriority w:val="99"/>
    <w:pPr>
      <w:snapToGrid w:val="0"/>
      <w:jc w:val="left"/>
    </w:pPr>
    <w:rPr>
      <w:rFonts w:eastAsia="华文楷体"/>
      <w:sz w:val="18"/>
      <w:szCs w:val="18"/>
    </w:rPr>
  </w:style>
  <w:style w:type="paragraph" w:styleId="9">
    <w:name w:val="annotation subject"/>
    <w:basedOn w:val="4"/>
    <w:next w:val="4"/>
    <w:link w:val="24"/>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styleId="13">
    <w:name w:val="footnote reference"/>
    <w:semiHidden/>
    <w:unhideWhenUsed/>
    <w:qFormat/>
    <w:uiPriority w:val="99"/>
    <w:rPr>
      <w:vertAlign w:val="superscript"/>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文档结构图 字符"/>
    <w:basedOn w:val="11"/>
    <w:link w:val="3"/>
    <w:semiHidden/>
    <w:qFormat/>
    <w:uiPriority w:val="99"/>
    <w:rPr>
      <w:rFonts w:ascii="宋体" w:eastAsia="宋体"/>
      <w:sz w:val="18"/>
      <w:szCs w:val="18"/>
    </w:rPr>
  </w:style>
  <w:style w:type="character" w:customStyle="1" w:styleId="17">
    <w:name w:val="批注框文本 字符"/>
    <w:basedOn w:val="11"/>
    <w:link w:val="5"/>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脚注文本 Char"/>
    <w:semiHidden/>
    <w:qFormat/>
    <w:uiPriority w:val="99"/>
    <w:rPr>
      <w:rFonts w:eastAsia="华文楷体"/>
      <w:sz w:val="18"/>
      <w:szCs w:val="18"/>
    </w:rPr>
  </w:style>
  <w:style w:type="character" w:customStyle="1" w:styleId="20">
    <w:name w:val="脚注文本 字符"/>
    <w:basedOn w:val="11"/>
    <w:link w:val="8"/>
    <w:semiHidden/>
    <w:qFormat/>
    <w:uiPriority w:val="99"/>
    <w:rPr>
      <w:sz w:val="18"/>
      <w:szCs w:val="18"/>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文字 字符"/>
    <w:basedOn w:val="11"/>
    <w:link w:val="4"/>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9"/>
    <w:semiHidden/>
    <w:qFormat/>
    <w:uiPriority w:val="99"/>
    <w:rPr>
      <w:rFonts w:asciiTheme="minorHAnsi" w:hAnsiTheme="minorHAnsi" w:eastAsiaTheme="minorEastAsia" w:cstheme="minorBidi"/>
      <w:b/>
      <w:bCs/>
      <w:kern w:val="2"/>
      <w:sz w:val="21"/>
      <w:szCs w:val="22"/>
    </w:rPr>
  </w:style>
  <w:style w:type="paragraph" w:customStyle="1" w:styleId="25">
    <w:name w:val="005正文"/>
    <w:qFormat/>
    <w:uiPriority w:val="99"/>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C63F0-5463-4442-B6F8-C000103F7A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2575</Words>
  <Characters>2684</Characters>
  <Lines>12</Lines>
  <Paragraphs>3</Paragraphs>
  <TotalTime>3</TotalTime>
  <ScaleCrop>false</ScaleCrop>
  <LinksUpToDate>false</LinksUpToDate>
  <CharactersWithSpaces>2822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2023-02-06T01:53:00Z</dcterms:created>
  <dc:creator>fangz</dc:creator>
  <cp:lastModifiedBy>沈蔡娟</cp:lastModifiedBy>
  <dcterms:modified xsi:type="dcterms:W3CDTF">2025-11-20T10:49:19Z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FDC3F2207ADE4FEA8F8E884D0B9055AB</vt:lpwstr>
  </property>
  <property fmtid="{D5CDD505-2E9C-101B-9397-08002B2CF9AE}" pid="4" name="KSOTemplateDocerSaveRecord">
    <vt:lpwstr>eyJoZGlkIjoiODhjMzM2YzNmOTE2ZjViMDYxNDA0OGY2ZmJjNjZjOWEiLCJ1c2VySWQiOiIyMTc3MDAzOTkifQ==</vt:lpwstr>
  </property>
</Properties>
</file>