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rPr>
              <w:t>其他</w:t>
            </w:r>
            <w:r>
              <w:rPr>
                <w:rFonts w:hint="eastAsia" w:ascii="Times New Roman" w:hAnsi="Times New Roman"/>
                <w:sz w:val="24"/>
                <w:szCs w:val="24"/>
                <w:lang w:val="en-US" w:eastAsia="zh-CN"/>
              </w:rPr>
              <w:t xml:space="preserve"> 202</w:t>
            </w:r>
            <w:r>
              <w:rPr>
                <w:rFonts w:hint="eastAsia" w:ascii="Times New Roman" w:hAnsi="Times New Roman"/>
                <w:sz w:val="24"/>
                <w:szCs w:val="24"/>
                <w:lang w:val="en-US" w:eastAsia="zh-CN"/>
              </w:rPr>
              <w:t>5</w:t>
            </w:r>
            <w:r>
              <w:rPr>
                <w:rFonts w:hint="eastAsia" w:ascii="Times New Roman" w:hAnsi="Times New Roman"/>
                <w:sz w:val="24"/>
                <w:szCs w:val="24"/>
                <w:lang w:val="en-US" w:eastAsia="zh-CN"/>
              </w:rPr>
              <w:t>年度深圳辖区上市公司</w:t>
            </w:r>
            <w:r>
              <w:rPr>
                <w:rFonts w:hint="eastAsia" w:ascii="Times New Roman" w:hAnsi="Times New Roman"/>
                <w:sz w:val="24"/>
                <w:szCs w:val="24"/>
                <w:lang w:val="en-US" w:eastAsia="zh-CN"/>
              </w:rPr>
              <w:t>投资者网上</w:t>
            </w:r>
            <w:r>
              <w:rPr>
                <w:rFonts w:hint="eastAsia" w:ascii="Times New Roman" w:hAnsi="Times New Roman"/>
                <w:sz w:val="24"/>
                <w:szCs w:val="24"/>
                <w:lang w:val="en-US" w:eastAsia="zh-CN"/>
              </w:rPr>
              <w:t>集体接待日活动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ascii="Times New Roman" w:hAnsi="Times New Roman"/>
                <w:sz w:val="24"/>
                <w:szCs w:val="24"/>
                <w:lang w:val="en-US" w:eastAsia="zh-CN"/>
              </w:rPr>
              <w:t>5</w:t>
            </w:r>
            <w:r>
              <w:rPr>
                <w:rFonts w:hint="eastAsia" w:ascii="Times New Roman" w:hAnsi="Times New Roman" w:eastAsia="宋体"/>
                <w:sz w:val="24"/>
                <w:szCs w:val="24"/>
              </w:rPr>
              <w:t>年</w:t>
            </w:r>
            <w:r>
              <w:rPr>
                <w:rFonts w:hint="eastAsia" w:ascii="Times New Roman" w:hAnsi="Times New Roman"/>
                <w:sz w:val="24"/>
                <w:szCs w:val="24"/>
                <w:lang w:val="en-US" w:eastAsia="zh-CN"/>
              </w:rPr>
              <w:t>1</w:t>
            </w:r>
            <w:r>
              <w:rPr>
                <w:rFonts w:hint="eastAsia" w:ascii="Times New Roman" w:hAnsi="Times New Roman"/>
                <w:sz w:val="24"/>
                <w:szCs w:val="24"/>
                <w:lang w:val="en-US" w:eastAsia="zh-CN"/>
              </w:rPr>
              <w:t>1</w:t>
            </w:r>
            <w:r>
              <w:rPr>
                <w:rFonts w:hint="eastAsia" w:ascii="Times New Roman" w:hAnsi="Times New Roman" w:eastAsia="宋体"/>
                <w:sz w:val="24"/>
                <w:szCs w:val="24"/>
              </w:rPr>
              <w:t>月</w:t>
            </w:r>
            <w:r>
              <w:rPr>
                <w:rFonts w:hint="eastAsia" w:ascii="Times New Roman" w:hAnsi="Times New Roman"/>
                <w:sz w:val="24"/>
                <w:szCs w:val="24"/>
                <w:lang w:val="en-US" w:eastAsia="zh-CN"/>
              </w:rPr>
              <w:t>20</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ascii="Times New Roman" w:hAnsi="Times New Roman"/>
                <w:sz w:val="24"/>
                <w:szCs w:val="24"/>
                <w:lang w:val="en-US" w:eastAsia="zh-CN"/>
              </w:rPr>
              <w:t>四</w:t>
            </w:r>
            <w:r>
              <w:rPr>
                <w:rFonts w:hint="eastAsia" w:ascii="Times New Roman" w:hAnsi="Times New Roman" w:eastAsia="宋体"/>
                <w:sz w:val="24"/>
                <w:szCs w:val="24"/>
                <w:lang w:val="en-US" w:eastAsia="zh-CN"/>
              </w:rPr>
              <w:t>）1</w:t>
            </w:r>
            <w:r>
              <w:rPr>
                <w:rFonts w:hint="eastAsia" w:ascii="Times New Roman" w:hAnsi="Times New Roman"/>
                <w:sz w:val="24"/>
                <w:szCs w:val="24"/>
                <w:lang w:val="en-US" w:eastAsia="zh-CN"/>
              </w:rPr>
              <w:t>4</w:t>
            </w:r>
            <w:r>
              <w:rPr>
                <w:rFonts w:hint="eastAsia" w:ascii="Times New Roman" w:hAnsi="Times New Roman" w:eastAsia="宋体"/>
                <w:sz w:val="24"/>
                <w:szCs w:val="24"/>
                <w:lang w:val="en-US" w:eastAsia="zh-CN"/>
              </w:rPr>
              <w:t>：</w:t>
            </w:r>
            <w:r>
              <w:rPr>
                <w:rFonts w:hint="eastAsia" w:ascii="Times New Roman" w:hAnsi="Times New Roman"/>
                <w:sz w:val="24"/>
                <w:szCs w:val="24"/>
                <w:lang w:val="en-US" w:eastAsia="zh-CN"/>
              </w:rPr>
              <w:t>3</w:t>
            </w:r>
            <w:r>
              <w:rPr>
                <w:rFonts w:hint="eastAsia" w:ascii="Times New Roman" w:hAnsi="Times New Roman" w:eastAsia="宋体"/>
                <w:sz w:val="24"/>
                <w:szCs w:val="24"/>
                <w:lang w:val="en-US" w:eastAsia="zh-CN"/>
              </w:rPr>
              <w:t>0-1</w:t>
            </w:r>
            <w:r>
              <w:rPr>
                <w:rFonts w:hint="eastAsia" w:ascii="Times New Roman" w:hAnsi="Times New Roman"/>
                <w:sz w:val="24"/>
                <w:szCs w:val="24"/>
                <w:lang w:val="en-US" w:eastAsia="zh-CN"/>
              </w:rPr>
              <w:t>7</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“全景路演”网站（http://rs.p5w.net）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ascii="Times New Roman" w:hAnsi="Times New Roman"/>
                <w:b/>
                <w:bCs/>
                <w:lang w:val="en-US" w:eastAsia="zh-CN"/>
              </w:rPr>
              <w:t>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1、</w:t>
            </w:r>
            <w:r>
              <w:rPr>
                <w:rFonts w:hint="eastAsia" w:ascii="Times New Roman" w:hAnsi="Times New Roman" w:eastAsia="宋体"/>
                <w:b/>
                <w:bCs/>
                <w:sz w:val="24"/>
                <w:szCs w:val="24"/>
                <w:lang w:val="en-US" w:eastAsia="zh-CN"/>
              </w:rPr>
              <w:t>传音控股市值管理工作做了哪些？机构调研那么多，为何没有转化为实际行动稳定股价？</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回答：尊敬的投资者您好，股价波动受多种因素影响，公司会持续加强与投资者沟通，努力做好生产经营工作。感谢您的关注！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2、贵公司自2025年9月26日至11月20日（至今）累计下跌40.35%，排名全A股5000多家公司跌幅榜第二名！请董秘核实数据！对于仅一个多月市场如此极端的表现，公司管理层集体沉默，是否合适？公司易互动中一句“公司二级市场股价收多种因素影响，公司无法控制”寒了多少价值投资者的心？9月高管陈廷波精准减持，控股股东转让20多亿！而</w:t>
            </w:r>
            <w:r>
              <w:rPr>
                <w:rFonts w:hint="eastAsia"/>
                <w:b/>
                <w:bCs/>
                <w:sz w:val="24"/>
                <w:szCs w:val="24"/>
                <w:lang w:val="en-US" w:eastAsia="zh-CN"/>
              </w:rPr>
              <w:t>反</w:t>
            </w:r>
            <w:r>
              <w:rPr>
                <w:rFonts w:hint="eastAsia" w:ascii="Times New Roman" w:hAnsi="Times New Roman"/>
                <w:b/>
                <w:bCs/>
                <w:sz w:val="24"/>
                <w:szCs w:val="24"/>
                <w:lang w:val="en-US" w:eastAsia="zh-CN"/>
              </w:rPr>
              <w:t>观81.81元接受股权转让的一众机构一个多月套牢25%，公司如何解释？</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回答：尊敬的投资者您好，股价波动受多种因素影响，公司会持续努力做好生产经营工作，回报股东。感谢您的关注！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ascii="Times New Roman" w:hAnsi="Times New Roman"/>
                <w:b/>
                <w:bCs/>
                <w:sz w:val="24"/>
                <w:szCs w:val="24"/>
                <w:lang w:val="en-US" w:eastAsia="zh-CN"/>
              </w:rPr>
            </w:pPr>
            <w:r>
              <w:rPr>
                <w:rFonts w:hint="default" w:ascii="Times New Roman" w:hAnsi="Times New Roman"/>
                <w:b/>
                <w:bCs/>
                <w:sz w:val="24"/>
                <w:szCs w:val="24"/>
                <w:lang w:val="en-US" w:eastAsia="zh-CN"/>
              </w:rPr>
              <w:t>3、贵公司与上市公司江波龙是战略伙伴关系，贵公司也持有对方股份，同时贵公司也是对方最大的客户，请问贵公司在采购江波龙存储器时，有无长期价格锁定协议或者给与战略伙伴的专属价格优惠措施？</w:t>
            </w:r>
          </w:p>
          <w:p>
            <w:pPr>
              <w:numPr>
                <w:ilvl w:val="0"/>
                <w:numId w:val="0"/>
              </w:num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回答：</w:t>
            </w:r>
            <w:r>
              <w:rPr>
                <w:rFonts w:hint="default" w:ascii="Times New Roman" w:hAnsi="Times New Roman" w:eastAsia="宋体"/>
                <w:sz w:val="24"/>
                <w:szCs w:val="24"/>
                <w:lang w:val="en-US" w:eastAsia="zh-CN"/>
              </w:rPr>
              <w:t>尊敬的投资者您好，请以公开披露的信息为准，感谢您的关注！</w:t>
            </w:r>
          </w:p>
          <w:p>
            <w:pPr>
              <w:numPr>
                <w:ilvl w:val="0"/>
                <w:numId w:val="0"/>
              </w:numPr>
              <w:spacing w:line="360" w:lineRule="auto"/>
              <w:ind w:firstLine="480" w:firstLineChars="200"/>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4、公司目前现金储备较多，技术人才储备较多，同时是A股中首屈一指的主营全球手机业务的上市公司，目前在全球各个大洲都有很大的业务突破进展，但贵公司是否考虑回归中国，中国市场毕竟是全球最大单一市场，只要推出适合中国市场的机型和打法，相信以贵公司的人才和实力一定可以做的比对手更加成功！</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尊敬的投资者您好，目前公司销售区域主要集中在非洲、南亚、东南亚、中东和拉美等全球新兴市场国家。感谢您的建议！</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5、请问目前传音使用的上游通信芯片：高通，联发科和国产展锐，三家采购的比例大致是怎样的？哪家份额最大？</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尊敬的投资者您好，请以公开披露的信息为准，感谢您的关注！</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6、为什么不回购还协议减持？</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尊敬的投资者您好，具体以公开披露的信息为准，感谢您的关注！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7、公司股价出现大幅下跌，大市值跌幅倒数第1，这显然与公司巨额研发费用，近年来发布的创新产品和公司宣传的某手机之王等形成鲜明反差</w:t>
            </w:r>
            <w:r>
              <w:rPr>
                <w:rFonts w:hint="eastAsia"/>
                <w:b/>
                <w:bCs/>
                <w:sz w:val="24"/>
                <w:szCs w:val="24"/>
                <w:lang w:val="en-US" w:eastAsia="zh-CN"/>
              </w:rPr>
              <w:t>。</w:t>
            </w:r>
            <w:r>
              <w:rPr>
                <w:rFonts w:hint="default" w:ascii="Times New Roman" w:hAnsi="Times New Roman"/>
                <w:b/>
                <w:bCs/>
                <w:sz w:val="24"/>
                <w:szCs w:val="24"/>
                <w:lang w:val="en-US" w:eastAsia="zh-CN"/>
              </w:rPr>
              <w:t>假如市场未正确反映价值，那么在暴跌二个月后，管理层都未对外发声</w:t>
            </w:r>
            <w:r>
              <w:rPr>
                <w:rFonts w:hint="eastAsia"/>
                <w:b/>
                <w:bCs/>
                <w:sz w:val="24"/>
                <w:szCs w:val="24"/>
                <w:lang w:val="en-US" w:eastAsia="zh-CN"/>
              </w:rPr>
              <w:t>。</w:t>
            </w:r>
            <w:r>
              <w:rPr>
                <w:rFonts w:hint="default" w:ascii="Times New Roman" w:hAnsi="Times New Roman"/>
                <w:b/>
                <w:bCs/>
                <w:sz w:val="24"/>
                <w:szCs w:val="24"/>
                <w:lang w:val="en-US" w:eastAsia="zh-CN"/>
              </w:rPr>
              <w:t>作为投资者，我深感困惑担忧。在此，我郑重建议： 1、立即召开说明会，董事出席直面投资者，直面质疑声。 2、果断加大回购、增持力度，通过实际行动向市场传递信心。3、优化信息披露，保护中小投资者权益</w:t>
            </w:r>
            <w:r>
              <w:rPr>
                <w:rFonts w:hint="eastAsia" w:ascii="Times New Roman" w:hAnsi="Times New Roman"/>
                <w:b/>
                <w:bCs/>
                <w:sz w:val="24"/>
                <w:szCs w:val="24"/>
                <w:lang w:val="en-US" w:eastAsia="zh-CN"/>
              </w:rPr>
              <w:t>。</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尊敬的投资者您好，股价波动受多种因素影响，公司会持续加强与投资者沟通，努力做好生产经营工作。感谢您的建议！</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8、四季度预计亏损多少</w:t>
            </w:r>
            <w:r>
              <w:rPr>
                <w:rFonts w:hint="eastAsia" w:ascii="Times New Roman" w:hAnsi="Times New Roman"/>
                <w:b/>
                <w:bCs/>
                <w:sz w:val="24"/>
                <w:szCs w:val="24"/>
                <w:lang w:val="en-US" w:eastAsia="zh-CN"/>
              </w:rPr>
              <w:t>？</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尊敬的投资者您好，具体以公开披露的信息为准，感谢您的关注！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9、传音控股近两个月持续创新低，股价一路下跌。请问公司是否有未披露的重要信息？公司是否对于股价的维稳有相应的举措或者措施？公司高管是否会考虑进行回购以增强投资者信心？</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尊敬的投资者您好，股价波动受多种因素影响，公司按照相关法律、法规的要求，依法履行相关信息披露义务，公司会持续加强与投资者沟通，努力做好生产经营工作。感谢您的关注！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10、《证券法》第44条规定：禁止上市公司董事、监事、高级管理人员及持股5%以上股东，在买入后6个月内卖出，或卖出后6个月内买入本公司股票。公司核心技术人员陈廷波先生于2025年4月9日买入公司股票5000股，并于不到6个月内的2025年9月23日年内高点103.2元精准减持3万股，是否违反证券法相关规定？公司如何解释并将如何处理高管违法短线交易的行为？</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尊敬的投资者您好，公司核心技术人员陈廷波先生不属于公司董监高人员，相关事项未违反相关法律、法规的要求，感谢您的关注！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11、存储涨价，同业上市公司小米9月底以来回购超12亿港元并公告；卢总裁向市场披露应对策略1.已与存储供应商签订明年供应协议确保产能不受影响；2.产品向高配倾斜，提升ASP消化成本；今天创始人雷军宣布小米汽车今年交付将超40万强化市场预期。反观贵公司9月底以来股价下挫超4成！管理层集体噤声，竟在此期间开董事会研究赴港上市，置A股投资人利益不顾，毫无预期管理。管理层是否关注二级市场异常，到底有无市值管理？</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尊敬的投资者您好，股价波动受多种因素影响，公司会持续加强与投资者沟通，努力做好生产经营工作。感谢您的建议！</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12、董秘好，四季度已经快过去一半，目前本季度公司的市场拓展和手机销售数据如何？本季度业绩是否已受到内存涨价的强烈影响？针对存储涨价</w:t>
            </w:r>
            <w:bookmarkStart w:id="0" w:name="_GoBack"/>
            <w:bookmarkEnd w:id="0"/>
            <w:r>
              <w:rPr>
                <w:rFonts w:hint="default" w:ascii="Times New Roman" w:hAnsi="Times New Roman"/>
                <w:b/>
                <w:bCs/>
                <w:sz w:val="24"/>
                <w:szCs w:val="24"/>
                <w:lang w:val="en-US" w:eastAsia="zh-CN"/>
              </w:rPr>
              <w:t>潮，公司有什么应对策略？本季度还会有新品发布吗？</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本季度公司的市场拓展和手机销售数据请以公开披露信息为准；面对存储上涨，公司会根据上游成本变化、市场竞争情况等，积极采取相应措施应对，如提价、产品结构调整等。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13、传音控股688036董秘，公司现在净利润下降，海外市场受到小米，华为等品牌冲击，公司有什么具体措施吗？还有最近公司股价大跌40多%，有何感想？是不是公募基金都抛售公司股票了。</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尊敬的投资者您好，公司会根据市场竞争情况、上游成本变化等，积极采取相应措施，努力做好生产经营工作。股价波动受多种因素影响，感谢您的关注！</w:t>
            </w:r>
          </w:p>
          <w:p>
            <w:pPr>
              <w:numPr>
                <w:ilvl w:val="0"/>
                <w:numId w:val="0"/>
              </w:numPr>
              <w:spacing w:line="360" w:lineRule="auto"/>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14、董秘先生，麻烦正面回答投资者问题，让投资者安心，也确保公司的市值稳定。在最近不到10个交易日，公司市值蒸发100多亿，根源在哪？为了发行H股，让A股市值蒸发，寒了A股投资者的心，是否值得？作为一个关心公司成长的投资者，也希望公司越来越强，保持稳定的增长性，发行H股，并不是不可以，但应该做好A股的稳定工作，信息披露和公司长远计划给投资者解释清楚，以坚定投资者信心。</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股价波动受多种因素影响，公司会持续加强与投资者沟通，努力做好生产经营工作。公司拟发行H股并在香港联交所主板上市，是为进一步提高公司综合竞争力，提升公司国际品牌形象，同时更好地利用国际资本市场，多元化融资渠道。感谢您的建议！</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w:t>
            </w:r>
            <w:r>
              <w:rPr>
                <w:rFonts w:hint="eastAsia" w:ascii="Times New Roman" w:hAnsi="Times New Roman"/>
                <w:b/>
                <w:bCs/>
                <w:sz w:val="24"/>
                <w:szCs w:val="24"/>
                <w:lang w:val="en-US" w:eastAsia="zh-CN"/>
              </w:rPr>
              <w:t>5</w:t>
            </w:r>
            <w:r>
              <w:rPr>
                <w:rFonts w:hint="default" w:ascii="Times New Roman" w:hAnsi="Times New Roman"/>
                <w:b/>
                <w:bCs/>
                <w:sz w:val="24"/>
                <w:szCs w:val="24"/>
                <w:lang w:val="en-US" w:eastAsia="zh-CN"/>
              </w:rPr>
              <w:t>、公司属成熟制造业，全球手机出货前5，近年股息超4%，市值超700亿排名科创50前15；吸引广大价值投资者期待长期稳健投资回报；可仅一个半月股价暴跌超40%腰斩！股价受二级市场各因素影响，可短期暴涨暴跌是否与公司资本市场的价值定位相符？公司不进行预期管理的原因？去年国家推出股票回购增持专项再贷款等政策工具引导上市公司通过低成本资金提升市场信心稳定股价。管理层为何在众多逆周期调节政策工具下仍无动于衷？</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尊敬的投资者您好，股价波动受多种因素影响，公司会持续加强与投资者沟通，努力做好生产经营工作。感谢您的关注！</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w:t>
            </w:r>
            <w:r>
              <w:rPr>
                <w:rFonts w:hint="eastAsia" w:ascii="Times New Roman" w:hAnsi="Times New Roman"/>
                <w:b/>
                <w:bCs/>
                <w:sz w:val="24"/>
                <w:szCs w:val="24"/>
                <w:lang w:val="en-US" w:eastAsia="zh-CN"/>
              </w:rPr>
              <w:t>6</w:t>
            </w:r>
            <w:r>
              <w:rPr>
                <w:rFonts w:hint="default" w:ascii="Times New Roman" w:hAnsi="Times New Roman"/>
                <w:b/>
                <w:bCs/>
                <w:sz w:val="24"/>
                <w:szCs w:val="24"/>
                <w:lang w:val="en-US" w:eastAsia="zh-CN"/>
              </w:rPr>
              <w:t>、为了增发H股，让原有股票腰斩，请问大股东，这买卖值得吗？公司纯粹为了融资的话，为何每年都高比例分红，明显是不缺资金，既然不缺资金，增发H股的目的又何在？</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尊敬的投资者您好，为进一步提高公司综合竞争力，提升公司国际品牌形象，同时更好地利用国际资本市场，多元化融资渠道，公司拟发行H股并在香港联交所主板上市。感谢您的关注！</w:t>
            </w:r>
          </w:p>
          <w:p>
            <w:pPr>
              <w:pStyle w:val="57"/>
              <w:spacing w:line="460" w:lineRule="exact"/>
              <w:ind w:left="0" w:leftChars="0" w:firstLine="0" w:firstLineChars="0"/>
              <w:rPr>
                <w:rFonts w:hint="default"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12B2"/>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BFB6152"/>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91C27"/>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354079"/>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EA700D7"/>
    <w:rsid w:val="1F2A15EE"/>
    <w:rsid w:val="1F364149"/>
    <w:rsid w:val="1F4D5F3F"/>
    <w:rsid w:val="1F5C3FAB"/>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6C4EAD"/>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413E60"/>
    <w:rsid w:val="285339D8"/>
    <w:rsid w:val="285E2960"/>
    <w:rsid w:val="28864F50"/>
    <w:rsid w:val="28AE301B"/>
    <w:rsid w:val="28B526A5"/>
    <w:rsid w:val="28BA45F0"/>
    <w:rsid w:val="28BE403A"/>
    <w:rsid w:val="28FB2B43"/>
    <w:rsid w:val="29121127"/>
    <w:rsid w:val="293D5638"/>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4F590C"/>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455136"/>
    <w:rsid w:val="375A4E6A"/>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8C3B7F"/>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9F18EB"/>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ED4C45"/>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45D53"/>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896AE1"/>
    <w:rsid w:val="7ABB4F36"/>
    <w:rsid w:val="7AEA1057"/>
    <w:rsid w:val="7AF7465C"/>
    <w:rsid w:val="7B47389F"/>
    <w:rsid w:val="7B5D13A7"/>
    <w:rsid w:val="7B94335A"/>
    <w:rsid w:val="7BA11F95"/>
    <w:rsid w:val="7BA324E5"/>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3413</Words>
  <Characters>3595</Characters>
  <Lines>21</Lines>
  <Paragraphs>6</Paragraphs>
  <TotalTime>9</TotalTime>
  <ScaleCrop>false</ScaleCrop>
  <LinksUpToDate>false</LinksUpToDate>
  <CharactersWithSpaces>3710</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江凤玲</cp:lastModifiedBy>
  <cp:lastPrinted>2012-11-19T01:56:00Z</cp:lastPrinted>
  <dcterms:modified xsi:type="dcterms:W3CDTF">2025-11-21T06:27:25Z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334CA1B9C376454E832368731EF83737</vt:lpwstr>
  </property>
</Properties>
</file>