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5559B">
      <w:pPr>
        <w:spacing w:before="156" w:beforeLines="50" w:after="156" w:afterLines="50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</w:t>
      </w:r>
      <w:r>
        <w:rPr>
          <w:rFonts w:eastAsia="微软雅黑"/>
          <w:bCs/>
          <w:iCs/>
          <w:color w:val="000000"/>
          <w:sz w:val="24"/>
        </w:rPr>
        <w:t>688343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证券简称：云天励飞</w:t>
      </w:r>
    </w:p>
    <w:p w14:paraId="16D477A9">
      <w:pPr>
        <w:spacing w:before="156" w:beforeLines="50" w:after="156" w:afterLines="50" w:line="400" w:lineRule="exact"/>
        <w:ind w:firstLine="643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深圳云天励飞技术股份有限公司</w:t>
      </w:r>
    </w:p>
    <w:p w14:paraId="6B7BAE92">
      <w:pPr>
        <w:spacing w:before="156" w:beforeLines="50" w:after="156" w:afterLines="50" w:line="400" w:lineRule="exact"/>
        <w:ind w:firstLine="643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62E582DA">
      <w:pPr>
        <w:spacing w:before="156" w:beforeLines="50" w:after="156" w:afterLines="50" w:line="400" w:lineRule="exact"/>
        <w:ind w:firstLine="643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/>
          <w:b/>
          <w:bCs/>
          <w:iCs/>
          <w:color w:val="000000"/>
          <w:sz w:val="32"/>
          <w:szCs w:val="32"/>
        </w:rPr>
        <w:t>（</w:t>
      </w:r>
      <w:r>
        <w:rPr>
          <w:b/>
          <w:bCs/>
          <w:iCs/>
          <w:color w:val="000000"/>
          <w:sz w:val="32"/>
          <w:szCs w:val="32"/>
        </w:rPr>
        <w:t>2025年</w:t>
      </w:r>
      <w:r>
        <w:rPr>
          <w:rFonts w:hint="eastAsia"/>
          <w:b/>
          <w:bCs/>
          <w:iCs/>
          <w:color w:val="000000"/>
          <w:sz w:val="32"/>
          <w:szCs w:val="32"/>
        </w:rPr>
        <w:t>1</w:t>
      </w:r>
      <w:r>
        <w:rPr>
          <w:b/>
          <w:bCs/>
          <w:iCs/>
          <w:color w:val="000000"/>
          <w:sz w:val="32"/>
          <w:szCs w:val="32"/>
        </w:rPr>
        <w:t>1月21日</w:t>
      </w:r>
      <w:r>
        <w:rPr>
          <w:rFonts w:hint="eastAsia"/>
          <w:b/>
          <w:bCs/>
          <w:iCs/>
          <w:color w:val="000000"/>
          <w:sz w:val="32"/>
          <w:szCs w:val="32"/>
        </w:rPr>
        <w:t>）</w:t>
      </w:r>
    </w:p>
    <w:p w14:paraId="2EE3C942">
      <w:pPr>
        <w:spacing w:before="156" w:beforeLines="50" w:line="400" w:lineRule="exact"/>
        <w:jc w:val="center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/>
          <w:bCs/>
          <w:iCs/>
          <w:color w:val="000000"/>
          <w:sz w:val="24"/>
        </w:rPr>
        <w:t xml:space="preserve">                                                      </w:t>
      </w:r>
      <w:r>
        <w:rPr>
          <w:rFonts w:hint="eastAsia" w:ascii="宋体" w:hAnsi="宋体"/>
          <w:bCs/>
          <w:iCs/>
          <w:color w:val="000000"/>
          <w:sz w:val="24"/>
        </w:rPr>
        <w:t>编号：</w:t>
      </w:r>
      <w:r>
        <w:rPr>
          <w:bCs/>
          <w:iCs/>
          <w:color w:val="000000"/>
          <w:sz w:val="24"/>
        </w:rPr>
        <w:t>2025-017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6434"/>
      </w:tblGrid>
      <w:tr w14:paraId="4F8E4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1244D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4C4791">
            <w:pPr>
              <w:spacing w:line="360" w:lineRule="auto"/>
            </w:pPr>
            <w:r>
              <w:rPr>
                <w:rFonts w:ascii="Segoe UI Symbol" w:hAnsi="Segoe UI Symbol" w:cs="Segoe UI Symbol"/>
                <w:sz w:val="24"/>
              </w:rPr>
              <w:t>☑</w:t>
            </w:r>
            <w:r>
              <w:rPr>
                <w:rFonts w:ascii="宋体" w:hAnsi="宋体" w:cs="宋体"/>
                <w:sz w:val="24"/>
              </w:rPr>
              <w:t>特定对象调研   □分析师会议</w:t>
            </w:r>
          </w:p>
          <w:p w14:paraId="00BDBC9A">
            <w:pPr>
              <w:spacing w:line="360" w:lineRule="auto"/>
            </w:pPr>
            <w:r>
              <w:rPr>
                <w:rFonts w:ascii="宋体" w:hAnsi="宋体" w:cs="宋体"/>
                <w:sz w:val="24"/>
              </w:rPr>
              <w:t xml:space="preserve">□媒体采访      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ascii="宋体" w:hAnsi="宋体" w:cs="宋体"/>
                <w:sz w:val="24"/>
              </w:rPr>
              <w:t>业绩说明会</w:t>
            </w:r>
          </w:p>
          <w:p w14:paraId="56364671">
            <w:pPr>
              <w:spacing w:line="360" w:lineRule="auto"/>
            </w:pPr>
            <w:r>
              <w:rPr>
                <w:rFonts w:ascii="宋体" w:hAnsi="宋体" w:cs="宋体"/>
                <w:sz w:val="24"/>
              </w:rPr>
              <w:t>□新闻发布会     □路演活动</w:t>
            </w:r>
          </w:p>
          <w:p w14:paraId="1614AF15">
            <w:pPr>
              <w:spacing w:line="360" w:lineRule="auto"/>
            </w:pPr>
            <w:r>
              <w:rPr>
                <w:rFonts w:ascii="宋体" w:hAnsi="宋体" w:cs="宋体"/>
                <w:sz w:val="24"/>
              </w:rPr>
              <w:t>□现场参观       □其他</w:t>
            </w:r>
          </w:p>
        </w:tc>
      </w:tr>
      <w:tr w14:paraId="70D2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AE1B6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7E42B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东方财富证券资管、野村东方国际证券、友邦人寿保险、上海沁闻投资、儒锟投资、弥远投资、瀛赋基金、亘曦资产、国信中数投资、上海九益私募基金、上海益昶资产、申万宏源证券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12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家机构的代表，共计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13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人。</w:t>
            </w:r>
          </w:p>
        </w:tc>
      </w:tr>
      <w:tr w14:paraId="6968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DF3EC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1DED9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2025年</w:t>
            </w: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1月</w:t>
            </w: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1日</w:t>
            </w:r>
          </w:p>
        </w:tc>
      </w:tr>
      <w:tr w14:paraId="753A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DA954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3877B">
            <w:pPr>
              <w:spacing w:line="360" w:lineRule="auto"/>
              <w:rPr>
                <w:sz w:val="24"/>
              </w:rPr>
            </w:pPr>
            <w:r>
              <w:rPr>
                <w:rFonts w:ascii="宋体" w:hAnsi="宋体" w:cs="宋体"/>
                <w:sz w:val="24"/>
              </w:rPr>
              <w:t>线下：外部其他场所</w:t>
            </w:r>
          </w:p>
        </w:tc>
      </w:tr>
      <w:tr w14:paraId="4CB84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B9231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F74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投资总监：韩暘先生</w:t>
            </w:r>
          </w:p>
        </w:tc>
      </w:tr>
      <w:tr w14:paraId="2AFE3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C995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0923ED2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153738">
            <w:pPr>
              <w:widowControl/>
              <w:spacing w:line="360" w:lineRule="auto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一、公司情况介绍</w:t>
            </w:r>
          </w:p>
          <w:p w14:paraId="5BDECEE6">
            <w:pPr>
              <w:widowControl/>
              <w:spacing w:line="360" w:lineRule="auto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二、Q&amp;A</w:t>
            </w:r>
          </w:p>
          <w:p w14:paraId="52EFAB8B">
            <w:p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1、能否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介绍下</w:t>
            </w:r>
            <w:r>
              <w:rPr>
                <w:rFonts w:hint="eastAsia"/>
                <w:b/>
                <w:bCs/>
                <w:sz w:val="24"/>
              </w:rPr>
              <w:t>公司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2025年</w:t>
            </w:r>
            <w:r>
              <w:rPr>
                <w:rFonts w:hint="eastAsia"/>
                <w:b/>
                <w:bCs/>
                <w:sz w:val="24"/>
              </w:rPr>
              <w:t>前三季度的经营情况？</w:t>
            </w:r>
          </w:p>
          <w:p w14:paraId="162B4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答：2025年1-9月，公司实现营业收入9.51亿元，同比增长97%；扣非归母净利润较去年同期进一步减亏1.59亿元，亏损同比收窄32%，公司核心业务经营质量正在稳步提升；经营性现金流净额增长至1.95亿元，继第二季度转正后，增长势头得以延续。与此同时，公司紧抓产业政策与市场机遇，持续深化“AI推理芯片+应用生态”的战略布局。一方面，公司依托“算力积木”架构，推动自研芯片在各类场景中落地，进一步强化技术护城河；另一方面，积极推动DeepEdge、DeepVerse、DeepXbot等系列产品协同迭代，逐步完善从边缘到中心的全栈算力体系。凭借核心技术自主可控、产品形态多元化以及国产生态适配优势，公司正加速构建国产AI推理芯片的创新高地和产业生态平台。</w:t>
            </w:r>
          </w:p>
          <w:p w14:paraId="4EF74A7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482" w:firstLineChars="200"/>
              <w:jc w:val="both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公司</w:t>
            </w:r>
            <w:r>
              <w:rPr>
                <w:rFonts w:hint="eastAsia"/>
                <w:b/>
                <w:bCs/>
                <w:sz w:val="24"/>
              </w:rPr>
              <w:t>在金蝶2</w:t>
            </w:r>
            <w:r>
              <w:rPr>
                <w:b/>
                <w:bCs/>
                <w:sz w:val="24"/>
              </w:rPr>
              <w:t>025</w:t>
            </w:r>
            <w:r>
              <w:rPr>
                <w:rFonts w:hint="eastAsia"/>
                <w:b/>
                <w:bCs/>
                <w:sz w:val="24"/>
              </w:rPr>
              <w:t>全球创见者大会上与金蝶签署战略合作协议，能否解读一下合作的内容？</w:t>
            </w:r>
          </w:p>
          <w:p w14:paraId="5A2FCAF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cs="Times New Roman"/>
                <w:kern w:val="2"/>
              </w:rPr>
              <w:t>答：</w:t>
            </w:r>
            <w:r>
              <w:rPr>
                <w:rFonts w:hint="eastAsia" w:ascii="Times New Roman" w:hAnsi="Times New Roman" w:cs="Times New Roman"/>
                <w:kern w:val="2"/>
                <w:lang w:val="en-US" w:eastAsia="zh-CN"/>
              </w:rPr>
              <w:t>公司与金蝶</w:t>
            </w:r>
            <w:r>
              <w:rPr>
                <w:rFonts w:hint="eastAsia" w:ascii="Times New Roman" w:hAnsi="Times New Roman" w:cs="Times New Roman"/>
                <w:kern w:val="2"/>
              </w:rPr>
              <w:t>此次</w:t>
            </w:r>
            <w:r>
              <w:rPr>
                <w:rFonts w:hint="eastAsia" w:ascii="Times New Roman" w:hAnsi="Times New Roman" w:cs="Times New Roman"/>
                <w:kern w:val="2"/>
                <w:lang w:val="en-US" w:eastAsia="zh-CN"/>
              </w:rPr>
              <w:t>战略</w:t>
            </w:r>
            <w:r>
              <w:rPr>
                <w:rFonts w:hint="eastAsia" w:ascii="Times New Roman" w:hAnsi="Times New Roman" w:cs="Times New Roman"/>
                <w:kern w:val="2"/>
              </w:rPr>
              <w:t>合作，</w:t>
            </w:r>
            <w:r>
              <w:rPr>
                <w:rFonts w:hint="eastAsia" w:ascii="Times New Roman" w:hAnsi="Times New Roman" w:cs="Times New Roman"/>
                <w:kern w:val="2"/>
                <w:lang w:val="en-US" w:eastAsia="zh-CN"/>
              </w:rPr>
              <w:t>将</w:t>
            </w:r>
            <w:r>
              <w:rPr>
                <w:rFonts w:ascii="Times New Roman" w:hAnsi="Times New Roman" w:cs="Times New Roman"/>
                <w:kern w:val="2"/>
              </w:rPr>
              <w:t>以</w:t>
            </w:r>
            <w:r>
              <w:rPr>
                <w:rFonts w:hint="eastAsia" w:ascii="Times New Roman" w:hAnsi="Times New Roman" w:cs="Times New Roman"/>
                <w:kern w:val="2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kern w:val="2"/>
              </w:rPr>
              <w:t>企业数字化软件生态</w:t>
            </w:r>
            <w:r>
              <w:rPr>
                <w:rFonts w:hint="eastAsia" w:ascii="Times New Roman" w:hAnsi="Times New Roman" w:cs="Times New Roman"/>
                <w:kern w:val="2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kern w:val="2"/>
              </w:rPr>
              <w:t>与</w:t>
            </w:r>
            <w:r>
              <w:rPr>
                <w:rFonts w:hint="eastAsia" w:ascii="Times New Roman" w:hAnsi="Times New Roman" w:cs="Times New Roman"/>
                <w:kern w:val="2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kern w:val="2"/>
              </w:rPr>
              <w:t>国产AI算力底座</w:t>
            </w:r>
            <w:r>
              <w:rPr>
                <w:rFonts w:hint="eastAsia" w:ascii="Times New Roman" w:hAnsi="Times New Roman" w:cs="Times New Roman"/>
                <w:kern w:val="2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kern w:val="2"/>
              </w:rPr>
              <w:t>为双引擎，打通从</w:t>
            </w:r>
            <w:r>
              <w:rPr>
                <w:rFonts w:hint="eastAsia" w:ascii="Times New Roman" w:hAnsi="Times New Roman" w:cs="Times New Roman"/>
                <w:kern w:val="2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kern w:val="2"/>
              </w:rPr>
              <w:t>算力-软件-场景</w:t>
            </w:r>
            <w:r>
              <w:rPr>
                <w:rFonts w:hint="eastAsia" w:ascii="Times New Roman" w:hAnsi="Times New Roman" w:cs="Times New Roman"/>
                <w:kern w:val="2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kern w:val="2"/>
              </w:rPr>
              <w:t>的全链路，让AI推理能力无缝嵌入企业数字化全流程，</w:t>
            </w:r>
            <w:r>
              <w:rPr>
                <w:rFonts w:hint="eastAsia" w:ascii="Times New Roman" w:hAnsi="Times New Roman" w:cs="Times New Roman"/>
                <w:kern w:val="2"/>
              </w:rPr>
              <w:t>目标是</w:t>
            </w:r>
            <w:r>
              <w:rPr>
                <w:rFonts w:ascii="Times New Roman" w:hAnsi="Times New Roman" w:cs="Times New Roman"/>
                <w:kern w:val="2"/>
              </w:rPr>
              <w:t>打造国内首个</w:t>
            </w:r>
            <w:r>
              <w:rPr>
                <w:rFonts w:hint="eastAsia" w:ascii="Times New Roman" w:hAnsi="Times New Roman" w:cs="Times New Roman"/>
                <w:kern w:val="2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kern w:val="2"/>
              </w:rPr>
              <w:t>国产算力引擎+企业级软件生态</w:t>
            </w:r>
            <w:r>
              <w:rPr>
                <w:rFonts w:hint="eastAsia" w:ascii="Times New Roman" w:hAnsi="Times New Roman" w:cs="Times New Roman"/>
                <w:kern w:val="2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kern w:val="2"/>
              </w:rPr>
              <w:t>深度融合标杆。</w:t>
            </w:r>
            <w:r>
              <w:rPr>
                <w:rFonts w:hint="eastAsia" w:ascii="Times New Roman" w:hAnsi="Times New Roman" w:cs="Times New Roman"/>
                <w:kern w:val="2"/>
              </w:rPr>
              <w:t>在合作机制上，</w:t>
            </w:r>
            <w:r>
              <w:rPr>
                <w:rFonts w:hint="eastAsia" w:ascii="Times New Roman" w:hAnsi="Times New Roman" w:cs="Times New Roman"/>
                <w:kern w:val="2"/>
                <w:lang w:val="en-US" w:eastAsia="zh-CN"/>
              </w:rPr>
              <w:t>公司</w:t>
            </w:r>
            <w:r>
              <w:rPr>
                <w:rFonts w:hint="eastAsia" w:ascii="Times New Roman" w:hAnsi="Times New Roman" w:cs="Times New Roman"/>
                <w:kern w:val="2"/>
              </w:rPr>
              <w:t>将聚焦AI算力底座的建设与迭代，提升算力供给效率，助力企业更好地释放智能潜能；金蝶则依托其在企业数字化管理领域的经验，推动AI算力在财务、人力、经营等关键场景中的落地与价值转化。双方将通过技术验证与场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kern w:val="2"/>
              </w:rPr>
              <w:t>景共建，推动“算力可用、智能易用”的新型基础设施体系形成。通过此次合作，双方希望建立一套可复制的“国产自主+协同赋能”合作范式，共同推动政企数字化智能化转型，为国产算力部署与AI规模化应用提供可借鉴的实践路径。</w:t>
            </w:r>
          </w:p>
        </w:tc>
      </w:tr>
      <w:tr w14:paraId="32950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23996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5211EB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</w:tbl>
    <w:p w14:paraId="5EB5895A">
      <w:pPr>
        <w:ind w:firstLine="562"/>
        <w:jc w:val="center"/>
        <w:rPr>
          <w:rFonts w:ascii="宋体" w:hAnsi="宋体"/>
          <w:sz w:val="28"/>
          <w:szCs w:val="28"/>
        </w:rPr>
      </w:pPr>
    </w:p>
    <w:p w14:paraId="58E225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CCDBC"/>
    <w:multiLevelType w:val="singleLevel"/>
    <w:tmpl w:val="87ECCDB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iZmU2YWZhNDAzYjJjMTgyNzQ3NGMzOTI4ODQwNGEifQ=="/>
  </w:docVars>
  <w:rsids>
    <w:rsidRoot w:val="00DB361F"/>
    <w:rsid w:val="00005DB8"/>
    <w:rsid w:val="000D6315"/>
    <w:rsid w:val="000F61A6"/>
    <w:rsid w:val="00107A0B"/>
    <w:rsid w:val="00123A01"/>
    <w:rsid w:val="001C5BA8"/>
    <w:rsid w:val="00205B8C"/>
    <w:rsid w:val="0027476E"/>
    <w:rsid w:val="002B086A"/>
    <w:rsid w:val="002B29A0"/>
    <w:rsid w:val="002C0D62"/>
    <w:rsid w:val="003238A9"/>
    <w:rsid w:val="00350EA0"/>
    <w:rsid w:val="003C41B4"/>
    <w:rsid w:val="00404DD2"/>
    <w:rsid w:val="00487889"/>
    <w:rsid w:val="004E0A03"/>
    <w:rsid w:val="004E42DE"/>
    <w:rsid w:val="00564FEE"/>
    <w:rsid w:val="00574245"/>
    <w:rsid w:val="005D713C"/>
    <w:rsid w:val="00607023"/>
    <w:rsid w:val="006955E2"/>
    <w:rsid w:val="006C42AF"/>
    <w:rsid w:val="007502A8"/>
    <w:rsid w:val="00781BC0"/>
    <w:rsid w:val="00797167"/>
    <w:rsid w:val="007C302D"/>
    <w:rsid w:val="007C79EB"/>
    <w:rsid w:val="007D4DB1"/>
    <w:rsid w:val="007F6618"/>
    <w:rsid w:val="008159ED"/>
    <w:rsid w:val="00833998"/>
    <w:rsid w:val="0087485F"/>
    <w:rsid w:val="008F013D"/>
    <w:rsid w:val="009271A0"/>
    <w:rsid w:val="00961AC0"/>
    <w:rsid w:val="00986C92"/>
    <w:rsid w:val="00996CC7"/>
    <w:rsid w:val="00A27A7D"/>
    <w:rsid w:val="00A91CFD"/>
    <w:rsid w:val="00A9323D"/>
    <w:rsid w:val="00AA04B3"/>
    <w:rsid w:val="00B07E37"/>
    <w:rsid w:val="00B51AC9"/>
    <w:rsid w:val="00BE36BA"/>
    <w:rsid w:val="00BE4930"/>
    <w:rsid w:val="00C23F1E"/>
    <w:rsid w:val="00C72F91"/>
    <w:rsid w:val="00CA1729"/>
    <w:rsid w:val="00CE2ACA"/>
    <w:rsid w:val="00D5509C"/>
    <w:rsid w:val="00D977F4"/>
    <w:rsid w:val="00D97C05"/>
    <w:rsid w:val="00DB361F"/>
    <w:rsid w:val="00DC5BA5"/>
    <w:rsid w:val="00DE34A3"/>
    <w:rsid w:val="00DE5217"/>
    <w:rsid w:val="00E466B8"/>
    <w:rsid w:val="00E62194"/>
    <w:rsid w:val="00EC46D1"/>
    <w:rsid w:val="00EE5BF7"/>
    <w:rsid w:val="00F00C5D"/>
    <w:rsid w:val="00F11A0C"/>
    <w:rsid w:val="00F959BE"/>
    <w:rsid w:val="028C6137"/>
    <w:rsid w:val="03623FE1"/>
    <w:rsid w:val="04D375D7"/>
    <w:rsid w:val="062E0F1B"/>
    <w:rsid w:val="06A83220"/>
    <w:rsid w:val="0B424E1A"/>
    <w:rsid w:val="0EB43068"/>
    <w:rsid w:val="13082AF4"/>
    <w:rsid w:val="16864FC3"/>
    <w:rsid w:val="177644D0"/>
    <w:rsid w:val="17E11EA2"/>
    <w:rsid w:val="188449CB"/>
    <w:rsid w:val="18893D8F"/>
    <w:rsid w:val="19EC2827"/>
    <w:rsid w:val="1D0B4E33"/>
    <w:rsid w:val="1D4E3BA5"/>
    <w:rsid w:val="1DF93765"/>
    <w:rsid w:val="2AEA4B61"/>
    <w:rsid w:val="30884227"/>
    <w:rsid w:val="30FA7AC8"/>
    <w:rsid w:val="31E56082"/>
    <w:rsid w:val="321F39AD"/>
    <w:rsid w:val="33705E1F"/>
    <w:rsid w:val="39F350B4"/>
    <w:rsid w:val="3ADD1FEC"/>
    <w:rsid w:val="3BBC42F8"/>
    <w:rsid w:val="3E2B12C1"/>
    <w:rsid w:val="40AB108F"/>
    <w:rsid w:val="419450A2"/>
    <w:rsid w:val="43996CCD"/>
    <w:rsid w:val="43B810F6"/>
    <w:rsid w:val="480103A1"/>
    <w:rsid w:val="4EF97456"/>
    <w:rsid w:val="4F166F97"/>
    <w:rsid w:val="56A612C8"/>
    <w:rsid w:val="5758266E"/>
    <w:rsid w:val="61515EA0"/>
    <w:rsid w:val="621647BA"/>
    <w:rsid w:val="63FE731D"/>
    <w:rsid w:val="66F531E4"/>
    <w:rsid w:val="688018A5"/>
    <w:rsid w:val="70757340"/>
    <w:rsid w:val="724539F8"/>
    <w:rsid w:val="736336B7"/>
    <w:rsid w:val="790A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ody Text"/>
    <w:basedOn w:val="1"/>
    <w:qFormat/>
    <w:uiPriority w:val="1"/>
    <w:rPr>
      <w:szCs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Table Paragraph"/>
    <w:basedOn w:val="1"/>
    <w:autoRedefine/>
    <w:qFormat/>
    <w:uiPriority w:val="1"/>
    <w:rPr>
      <w:rFonts w:ascii="Calibri" w:hAnsi="Calibri"/>
    </w:rPr>
  </w:style>
  <w:style w:type="character" w:customStyle="1" w:styleId="11">
    <w:name w:val="页眉 字符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wx_text_underlin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946</Words>
  <Characters>1025</Characters>
  <Lines>8</Lines>
  <Paragraphs>2</Paragraphs>
  <TotalTime>1</TotalTime>
  <ScaleCrop>false</ScaleCrop>
  <LinksUpToDate>false</LinksUpToDate>
  <CharactersWithSpaces>1136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2023-05-23T09:59:00Z</dcterms:created>
  <dc:creator>skd004</dc:creator>
  <cp:lastModifiedBy>Hannie</cp:lastModifiedBy>
  <dcterms:modified xsi:type="dcterms:W3CDTF">2025-11-24T08:35:14Z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99C42844F53549A08827236392B9D2D5_13</vt:lpwstr>
  </property>
  <property fmtid="{D5CDD505-2E9C-101B-9397-08002B2CF9AE}" pid="4" name="KSOTemplateDocerSaveRecord">
    <vt:lpwstr>eyJoZGlkIjoiYzg4ZGVhNjYzNmVhYTMyMjIyMGY1ZmZhZmM5OGYwMTMiLCJ1c2VySWQiOiIxMTQ0MzUyMzA4In0=</vt:lpwstr>
  </property>
</Properties>
</file>