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B7AF">
      <w:pPr>
        <w:spacing w:before="156" w:beforeLines="50" w:after="156" w:afterLines="50" w:line="400" w:lineRule="exact"/>
        <w:rPr>
          <w:bCs/>
          <w:iCs/>
          <w:color w:val="000000"/>
          <w:sz w:val="24"/>
        </w:rPr>
      </w:pPr>
      <w:r>
        <w:rPr>
          <w:rFonts w:hAnsi="宋体"/>
          <w:bCs/>
          <w:iCs/>
          <w:color w:val="000000"/>
          <w:sz w:val="24"/>
        </w:rPr>
        <w:t>证券代码：</w:t>
      </w:r>
      <w:r>
        <w:rPr>
          <w:color w:val="000000"/>
          <w:sz w:val="24"/>
        </w:rPr>
        <w:t>688275</w:t>
      </w:r>
      <w:r>
        <w:rPr>
          <w:rFonts w:hint="eastAsia"/>
          <w:color w:val="000000"/>
          <w:sz w:val="24"/>
        </w:rPr>
        <w:t xml:space="preserve">                                    </w:t>
      </w:r>
      <w:r>
        <w:rPr>
          <w:rFonts w:hAnsi="宋体"/>
          <w:bCs/>
          <w:iCs/>
          <w:color w:val="000000"/>
          <w:sz w:val="24"/>
        </w:rPr>
        <w:t>证券简称：</w:t>
      </w:r>
      <w:r>
        <w:rPr>
          <w:color w:val="000000"/>
          <w:sz w:val="24"/>
        </w:rPr>
        <w:t>万润新能</w:t>
      </w:r>
    </w:p>
    <w:p w14:paraId="19B555ED">
      <w:pPr>
        <w:spacing w:before="156" w:beforeLines="50" w:after="156" w:afterLines="50" w:line="400" w:lineRule="exact"/>
        <w:jc w:val="center"/>
        <w:rPr>
          <w:rFonts w:ascii="宋体" w:hAnsi="宋体"/>
          <w:b/>
          <w:bCs/>
          <w:iCs/>
          <w:color w:val="000000"/>
          <w:sz w:val="32"/>
          <w:szCs w:val="32"/>
        </w:rPr>
      </w:pPr>
    </w:p>
    <w:p w14:paraId="759D8E30">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湖北万润新能源科技股份有限公司</w:t>
      </w:r>
    </w:p>
    <w:p w14:paraId="68F17CA8">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598A2CA3">
      <w:pPr>
        <w:spacing w:line="400" w:lineRule="exact"/>
        <w:rPr>
          <w:bCs/>
          <w:iCs/>
          <w:color w:val="000000"/>
          <w:sz w:val="24"/>
        </w:rPr>
      </w:pPr>
    </w:p>
    <w:p w14:paraId="346C1554">
      <w:pPr>
        <w:spacing w:line="400" w:lineRule="exact"/>
        <w:jc w:val="right"/>
        <w:rPr>
          <w:bCs/>
          <w:iCs/>
          <w:color w:val="000000"/>
          <w:sz w:val="24"/>
        </w:rPr>
      </w:pPr>
      <w:r>
        <w:rPr>
          <w:rFonts w:hint="eastAsia"/>
          <w:bCs/>
          <w:iCs/>
          <w:color w:val="000000"/>
          <w:sz w:val="24"/>
        </w:rPr>
        <w:t>编号：2025-05</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3B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D8DA3DE">
            <w:pPr>
              <w:spacing w:line="420" w:lineRule="exact"/>
              <w:rPr>
                <w:bCs/>
                <w:iCs/>
                <w:color w:val="000000"/>
                <w:kern w:val="0"/>
                <w:sz w:val="24"/>
              </w:rPr>
            </w:pPr>
            <w:r>
              <w:rPr>
                <w:rFonts w:hAnsi="宋体"/>
                <w:bCs/>
                <w:iCs/>
                <w:color w:val="000000"/>
                <w:kern w:val="0"/>
                <w:sz w:val="24"/>
              </w:rPr>
              <w:t>投资者关系活动类别</w:t>
            </w:r>
          </w:p>
          <w:p w14:paraId="311BDD9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D74ACA3">
            <w:pPr>
              <w:spacing w:line="420" w:lineRule="exact"/>
              <w:rPr>
                <w:bCs/>
                <w:iCs/>
                <w:color w:val="000000"/>
                <w:sz w:val="24"/>
              </w:rPr>
            </w:pPr>
            <w:r>
              <w:rPr>
                <w:rFonts w:hint="eastAsia"/>
                <w:bCs/>
                <w:iCs/>
                <w:color w:val="000000"/>
                <w:kern w:val="0"/>
                <w:sz w:val="24"/>
              </w:rPr>
              <w:t>√</w:t>
            </w:r>
            <w:r>
              <w:rPr>
                <w:rFonts w:hAnsi="宋体"/>
                <w:kern w:val="0"/>
                <w:sz w:val="24"/>
              </w:rPr>
              <w:t>特定对象调研</w:t>
            </w:r>
            <w:r>
              <w:rPr>
                <w:rFonts w:hint="eastAsia" w:hAnsi="宋体"/>
                <w:kern w:val="0"/>
                <w:sz w:val="24"/>
              </w:rPr>
              <w:t xml:space="preserve">  </w:t>
            </w:r>
            <w:r>
              <w:rPr>
                <w:rFonts w:hint="eastAsia"/>
                <w:bCs/>
                <w:iCs/>
                <w:color w:val="000000"/>
                <w:kern w:val="0"/>
                <w:sz w:val="24"/>
              </w:rPr>
              <w:t>√</w:t>
            </w:r>
            <w:r>
              <w:rPr>
                <w:rFonts w:hAnsi="宋体"/>
                <w:kern w:val="0"/>
                <w:sz w:val="24"/>
              </w:rPr>
              <w:t>分析师会议</w:t>
            </w:r>
          </w:p>
          <w:p w14:paraId="5CF35323">
            <w:pPr>
              <w:spacing w:line="420" w:lineRule="exact"/>
              <w:rPr>
                <w:bCs/>
                <w:iCs/>
                <w:color w:val="000000"/>
                <w:kern w:val="0"/>
                <w:sz w:val="24"/>
              </w:rPr>
            </w:pPr>
            <w:r>
              <w:rPr>
                <w:bCs/>
                <w:iCs/>
                <w:color w:val="000000"/>
                <w:kern w:val="0"/>
                <w:sz w:val="24"/>
              </w:rPr>
              <w:t>□</w:t>
            </w:r>
            <w:r>
              <w:rPr>
                <w:rFonts w:hAnsi="宋体"/>
                <w:kern w:val="0"/>
                <w:sz w:val="24"/>
              </w:rPr>
              <w:t>媒体采访</w:t>
            </w:r>
            <w:r>
              <w:rPr>
                <w:rFonts w:hint="eastAsia" w:hAnsi="宋体"/>
                <w:kern w:val="0"/>
                <w:sz w:val="24"/>
              </w:rPr>
              <w:t xml:space="preserve">       </w:t>
            </w:r>
            <w:r>
              <w:rPr>
                <w:bCs/>
                <w:iCs/>
                <w:color w:val="000000"/>
                <w:kern w:val="0"/>
                <w:sz w:val="24"/>
              </w:rPr>
              <w:t>□</w:t>
            </w:r>
            <w:r>
              <w:rPr>
                <w:rFonts w:hAnsi="宋体"/>
                <w:kern w:val="0"/>
                <w:sz w:val="24"/>
              </w:rPr>
              <w:t>业绩说明会</w:t>
            </w:r>
          </w:p>
          <w:p w14:paraId="5A8C5D11">
            <w:pPr>
              <w:spacing w:line="420" w:lineRule="exact"/>
              <w:rPr>
                <w:bCs/>
                <w:iCs/>
                <w:color w:val="000000"/>
                <w:kern w:val="0"/>
                <w:sz w:val="24"/>
              </w:rPr>
            </w:pPr>
            <w:r>
              <w:rPr>
                <w:bCs/>
                <w:iCs/>
                <w:color w:val="000000"/>
                <w:kern w:val="0"/>
                <w:sz w:val="24"/>
              </w:rPr>
              <w:t>□</w:t>
            </w:r>
            <w:r>
              <w:rPr>
                <w:rFonts w:hAnsi="宋体"/>
                <w:kern w:val="0"/>
                <w:sz w:val="24"/>
              </w:rPr>
              <w:t>新闻发布会</w:t>
            </w:r>
            <w:r>
              <w:rPr>
                <w:rFonts w:hint="eastAsia" w:hAnsi="宋体"/>
                <w:kern w:val="0"/>
                <w:sz w:val="24"/>
              </w:rPr>
              <w:t xml:space="preserve">     </w:t>
            </w:r>
            <w:r>
              <w:rPr>
                <w:rFonts w:hint="eastAsia"/>
                <w:bCs/>
                <w:iCs/>
                <w:color w:val="000000"/>
                <w:kern w:val="0"/>
                <w:sz w:val="24"/>
              </w:rPr>
              <w:t>√</w:t>
            </w:r>
            <w:r>
              <w:rPr>
                <w:rFonts w:hAnsi="宋体"/>
                <w:kern w:val="0"/>
                <w:sz w:val="24"/>
              </w:rPr>
              <w:t>路演活动</w:t>
            </w:r>
          </w:p>
          <w:p w14:paraId="39AA3369">
            <w:pPr>
              <w:tabs>
                <w:tab w:val="center" w:pos="3199"/>
                <w:tab w:val="left" w:pos="3290"/>
              </w:tabs>
              <w:spacing w:line="420" w:lineRule="exact"/>
              <w:rPr>
                <w:bCs/>
                <w:iCs/>
                <w:color w:val="000000"/>
                <w:kern w:val="0"/>
                <w:sz w:val="24"/>
              </w:rPr>
            </w:pPr>
            <w:r>
              <w:rPr>
                <w:bCs/>
                <w:iCs/>
                <w:color w:val="000000"/>
                <w:kern w:val="0"/>
                <w:sz w:val="24"/>
              </w:rPr>
              <w:t>□</w:t>
            </w:r>
            <w:r>
              <w:rPr>
                <w:rFonts w:hAnsi="宋体"/>
                <w:kern w:val="0"/>
                <w:sz w:val="24"/>
              </w:rPr>
              <w:t>现场参观</w:t>
            </w:r>
            <w:r>
              <w:rPr>
                <w:bCs/>
                <w:iCs/>
                <w:color w:val="000000"/>
                <w:kern w:val="0"/>
                <w:sz w:val="24"/>
              </w:rPr>
              <w:tab/>
            </w:r>
          </w:p>
          <w:p w14:paraId="78675455">
            <w:pPr>
              <w:tabs>
                <w:tab w:val="center" w:pos="3199"/>
              </w:tabs>
              <w:spacing w:line="420" w:lineRule="exact"/>
              <w:rPr>
                <w:bCs/>
                <w:iCs/>
                <w:color w:val="000000"/>
                <w:sz w:val="24"/>
              </w:rPr>
            </w:pPr>
            <w:r>
              <w:rPr>
                <w:rFonts w:hint="eastAsia"/>
                <w:bCs/>
                <w:iCs/>
                <w:color w:val="000000"/>
                <w:kern w:val="0"/>
                <w:sz w:val="24"/>
              </w:rPr>
              <w:t>√</w:t>
            </w:r>
            <w:r>
              <w:rPr>
                <w:rFonts w:hAnsi="宋体"/>
                <w:kern w:val="0"/>
                <w:sz w:val="24"/>
              </w:rPr>
              <w:t>其他</w:t>
            </w:r>
            <w:r>
              <w:rPr>
                <w:rFonts w:hint="eastAsia" w:hAnsi="宋体"/>
                <w:kern w:val="0"/>
                <w:sz w:val="24"/>
              </w:rPr>
              <w:t>（电话及线上网络交流）</w:t>
            </w:r>
          </w:p>
        </w:tc>
      </w:tr>
      <w:tr w14:paraId="58E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09A7AC11">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69FC3463">
            <w:pPr>
              <w:spacing w:line="420" w:lineRule="exact"/>
              <w:rPr>
                <w:rFonts w:hint="eastAsia"/>
                <w:bCs/>
                <w:iCs/>
                <w:color w:val="000000"/>
                <w:sz w:val="24"/>
              </w:rPr>
            </w:pPr>
            <w:r>
              <w:rPr>
                <w:rFonts w:hint="eastAsia"/>
                <w:bCs/>
                <w:iCs/>
                <w:color w:val="000000"/>
                <w:sz w:val="24"/>
                <w:lang w:eastAsia="zh-CN"/>
              </w:rPr>
              <w:t>易方达基金、中欧基金、银河基金、交银施罗德基金、景顺长城基金、申万菱信基金、宝盈基金、泉果基金、方正富邦基金、银华基金、华商基金、民生加银基金、建信基金、新华基金、</w:t>
            </w:r>
            <w:r>
              <w:rPr>
                <w:rFonts w:hint="eastAsia"/>
                <w:bCs/>
                <w:iCs/>
                <w:color w:val="000000"/>
                <w:sz w:val="24"/>
                <w:lang w:val="en-US" w:eastAsia="zh-CN"/>
              </w:rPr>
              <w:t>大成基金、兴全基金、东方基金、华夏基金、中信建投基金、</w:t>
            </w:r>
            <w:r>
              <w:rPr>
                <w:rFonts w:hint="eastAsia"/>
                <w:bCs/>
                <w:iCs/>
                <w:color w:val="000000"/>
                <w:sz w:val="24"/>
                <w:lang w:eastAsia="zh-CN"/>
              </w:rPr>
              <w:t>中邮基金、招银理财、中金资管、前海人寿、人保资产、国寿养老、国寿安保</w:t>
            </w:r>
            <w:r>
              <w:rPr>
                <w:rFonts w:hint="eastAsia"/>
                <w:bCs/>
                <w:iCs/>
                <w:color w:val="000000"/>
                <w:sz w:val="24"/>
                <w:lang w:val="en-US" w:eastAsia="zh-CN"/>
              </w:rPr>
              <w:t>基金、聚鸣投资</w:t>
            </w:r>
            <w:r>
              <w:rPr>
                <w:rFonts w:hint="eastAsia"/>
                <w:bCs/>
                <w:iCs/>
                <w:color w:val="000000"/>
                <w:sz w:val="24"/>
                <w:lang w:eastAsia="zh-CN"/>
              </w:rPr>
              <w:t>、华安资产、泰康资产、新华资产、太平资产、长盛基金、</w:t>
            </w:r>
            <w:r>
              <w:rPr>
                <w:rFonts w:hint="eastAsia"/>
                <w:bCs/>
                <w:iCs/>
                <w:color w:val="000000"/>
                <w:sz w:val="24"/>
                <w:lang w:val="en-US" w:eastAsia="zh-CN"/>
              </w:rPr>
              <w:t>中科沃土基金、中信建投自营、和谐汇一基金、合众资产、南土资产、远信投资、禹田资本、远信投资、从容投资、</w:t>
            </w:r>
            <w:r>
              <w:rPr>
                <w:rFonts w:hint="eastAsia"/>
                <w:bCs/>
                <w:iCs/>
                <w:color w:val="000000"/>
                <w:sz w:val="24"/>
                <w:lang w:eastAsia="zh-CN"/>
              </w:rPr>
              <w:t>前海博普资产、坤溪资产、猎投资本、煜德投资、珠海金丰创晟投资、道仁资产、玄元投资、运舟资本、</w:t>
            </w:r>
            <w:r>
              <w:rPr>
                <w:rFonts w:hint="eastAsia"/>
                <w:bCs/>
                <w:iCs/>
                <w:color w:val="000000"/>
                <w:sz w:val="24"/>
                <w:lang w:val="en-US" w:eastAsia="zh-CN"/>
              </w:rPr>
              <w:t>果实资本、</w:t>
            </w:r>
            <w:r>
              <w:rPr>
                <w:rFonts w:hint="eastAsia"/>
                <w:bCs/>
                <w:iCs/>
                <w:color w:val="000000"/>
                <w:sz w:val="24"/>
                <w:lang w:eastAsia="zh-CN"/>
              </w:rPr>
              <w:t>中信建投证券、国信证券、</w:t>
            </w:r>
            <w:r>
              <w:rPr>
                <w:rFonts w:hint="eastAsia"/>
                <w:bCs/>
                <w:iCs/>
                <w:color w:val="000000"/>
                <w:sz w:val="24"/>
                <w:lang w:val="en-US" w:eastAsia="zh-CN"/>
              </w:rPr>
              <w:t>广发证券、</w:t>
            </w:r>
            <w:r>
              <w:rPr>
                <w:rFonts w:hint="eastAsia"/>
                <w:bCs/>
                <w:iCs/>
                <w:color w:val="000000"/>
                <w:sz w:val="24"/>
                <w:lang w:eastAsia="zh-CN"/>
              </w:rPr>
              <w:t>申万宏源证券、</w:t>
            </w:r>
            <w:r>
              <w:rPr>
                <w:rFonts w:hint="eastAsia"/>
                <w:bCs/>
                <w:iCs/>
                <w:color w:val="000000"/>
                <w:sz w:val="24"/>
                <w:lang w:val="en-US" w:eastAsia="zh-CN"/>
              </w:rPr>
              <w:t>国联民生证券、华福证券、开源证券、中泰证券、</w:t>
            </w:r>
            <w:r>
              <w:rPr>
                <w:rFonts w:hint="eastAsia"/>
                <w:bCs/>
                <w:iCs/>
                <w:color w:val="000000"/>
                <w:sz w:val="24"/>
                <w:lang w:eastAsia="zh-CN"/>
              </w:rPr>
              <w:t>西部证券、国金证券、天风证券、东方财富证券、招商证券、兴业证券、华西证券</w:t>
            </w:r>
          </w:p>
          <w:p w14:paraId="6930F328">
            <w:pPr>
              <w:spacing w:line="420" w:lineRule="exact"/>
              <w:rPr>
                <w:bCs/>
                <w:iCs/>
                <w:color w:val="000000"/>
                <w:sz w:val="24"/>
              </w:rPr>
            </w:pPr>
            <w:r>
              <w:rPr>
                <w:rFonts w:hint="eastAsia"/>
                <w:bCs/>
                <w:iCs/>
                <w:color w:val="000000"/>
                <w:sz w:val="24"/>
              </w:rPr>
              <w:t>（以上排名不分先后）</w:t>
            </w:r>
          </w:p>
        </w:tc>
      </w:tr>
      <w:tr w14:paraId="1DD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661EEF8">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8E4E954">
            <w:pPr>
              <w:spacing w:line="420" w:lineRule="exact"/>
              <w:rPr>
                <w:rFonts w:hint="default" w:eastAsia="宋体"/>
                <w:bCs/>
                <w:iCs/>
                <w:color w:val="000000"/>
                <w:sz w:val="24"/>
                <w:lang w:val="en-US" w:eastAsia="zh-CN"/>
              </w:rPr>
            </w:pPr>
            <w:r>
              <w:rPr>
                <w:rFonts w:hint="eastAsia"/>
                <w:bCs/>
                <w:iCs/>
                <w:color w:val="000000"/>
                <w:sz w:val="24"/>
              </w:rPr>
              <w:t>2025年</w:t>
            </w:r>
            <w:r>
              <w:rPr>
                <w:rFonts w:hint="eastAsia"/>
                <w:bCs/>
                <w:iCs/>
                <w:color w:val="000000"/>
                <w:sz w:val="24"/>
                <w:lang w:val="en-US" w:eastAsia="zh-CN"/>
              </w:rPr>
              <w:t>11</w:t>
            </w:r>
            <w:r>
              <w:rPr>
                <w:rFonts w:hint="eastAsia"/>
                <w:bCs/>
                <w:iCs/>
                <w:color w:val="000000"/>
                <w:sz w:val="24"/>
              </w:rPr>
              <w:t>月</w:t>
            </w:r>
            <w:r>
              <w:rPr>
                <w:rFonts w:hint="default"/>
                <w:bCs/>
                <w:iCs/>
                <w:color w:val="000000"/>
                <w:sz w:val="24"/>
                <w:lang w:val="en-US"/>
              </w:rPr>
              <w:t>6</w:t>
            </w:r>
            <w:r>
              <w:rPr>
                <w:rFonts w:hint="eastAsia"/>
                <w:bCs/>
                <w:iCs/>
                <w:color w:val="000000"/>
                <w:sz w:val="24"/>
                <w:lang w:val="en-US" w:eastAsia="zh-CN"/>
              </w:rPr>
              <w:t>日-</w:t>
            </w:r>
            <w:r>
              <w:rPr>
                <w:rFonts w:hint="default"/>
                <w:bCs/>
                <w:iCs/>
                <w:color w:val="000000"/>
                <w:sz w:val="24"/>
                <w:lang w:val="en-US" w:eastAsia="zh-CN"/>
              </w:rPr>
              <w:t>11</w:t>
            </w:r>
            <w:r>
              <w:rPr>
                <w:rFonts w:hint="eastAsia"/>
                <w:bCs/>
                <w:iCs/>
                <w:color w:val="000000"/>
                <w:sz w:val="24"/>
                <w:lang w:val="en-US" w:eastAsia="zh-CN"/>
              </w:rPr>
              <w:t>月</w:t>
            </w:r>
            <w:r>
              <w:rPr>
                <w:rFonts w:hint="default"/>
                <w:bCs/>
                <w:iCs/>
                <w:color w:val="000000"/>
                <w:sz w:val="24"/>
                <w:lang w:val="en-US" w:eastAsia="zh-CN"/>
              </w:rPr>
              <w:t>22</w:t>
            </w:r>
            <w:r>
              <w:rPr>
                <w:rFonts w:hint="eastAsia"/>
                <w:bCs/>
                <w:iCs/>
                <w:color w:val="000000"/>
                <w:sz w:val="24"/>
                <w:lang w:val="en-US" w:eastAsia="zh-CN"/>
              </w:rPr>
              <w:t>日</w:t>
            </w:r>
          </w:p>
        </w:tc>
      </w:tr>
      <w:tr w14:paraId="4DC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2EB96A7">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169F3618">
            <w:pPr>
              <w:spacing w:line="420" w:lineRule="exact"/>
              <w:rPr>
                <w:rFonts w:hint="default" w:eastAsia="宋体"/>
                <w:bCs/>
                <w:iCs/>
                <w:color w:val="000000"/>
                <w:sz w:val="24"/>
                <w:lang w:val="en-US" w:eastAsia="zh-CN"/>
              </w:rPr>
            </w:pPr>
            <w:r>
              <w:rPr>
                <w:rFonts w:hint="eastAsia"/>
                <w:bCs/>
                <w:iCs/>
                <w:color w:val="000000"/>
                <w:sz w:val="24"/>
                <w:lang w:val="en-US" w:eastAsia="zh-CN"/>
              </w:rPr>
              <w:t>北京、</w:t>
            </w:r>
            <w:r>
              <w:rPr>
                <w:rFonts w:hint="eastAsia"/>
                <w:bCs/>
                <w:iCs/>
                <w:color w:val="000000"/>
                <w:sz w:val="24"/>
              </w:rPr>
              <w:t>上海、</w:t>
            </w:r>
            <w:r>
              <w:rPr>
                <w:rFonts w:hint="eastAsia"/>
                <w:bCs/>
                <w:iCs/>
                <w:color w:val="000000"/>
                <w:sz w:val="24"/>
                <w:lang w:val="en-US" w:eastAsia="zh-CN"/>
              </w:rPr>
              <w:t>深圳、</w:t>
            </w:r>
            <w:r>
              <w:rPr>
                <w:rFonts w:hint="eastAsia"/>
                <w:bCs/>
                <w:iCs/>
                <w:color w:val="000000"/>
                <w:sz w:val="24"/>
              </w:rPr>
              <w:t>线上</w:t>
            </w:r>
            <w:r>
              <w:rPr>
                <w:rFonts w:hint="eastAsia"/>
                <w:bCs/>
                <w:iCs/>
                <w:color w:val="000000"/>
                <w:sz w:val="24"/>
                <w:lang w:val="en-US" w:eastAsia="zh-CN"/>
              </w:rPr>
              <w:t>会议等</w:t>
            </w:r>
          </w:p>
        </w:tc>
      </w:tr>
      <w:tr w14:paraId="7DB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CB1771D">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2B3B4848">
            <w:pPr>
              <w:spacing w:line="420" w:lineRule="exact"/>
              <w:rPr>
                <w:rFonts w:ascii="宋体" w:hAnsi="宋体"/>
                <w:bCs/>
                <w:sz w:val="24"/>
              </w:rPr>
            </w:pPr>
            <w:r>
              <w:rPr>
                <w:rFonts w:hint="eastAsia" w:ascii="宋体" w:hAnsi="宋体"/>
                <w:bCs/>
                <w:sz w:val="24"/>
              </w:rPr>
              <w:t>资本运营负责人：张乐</w:t>
            </w:r>
          </w:p>
          <w:p w14:paraId="37965463">
            <w:pPr>
              <w:spacing w:line="420" w:lineRule="exact"/>
              <w:rPr>
                <w:rFonts w:ascii="宋体" w:hAnsi="宋体"/>
                <w:bCs/>
                <w:sz w:val="24"/>
              </w:rPr>
            </w:pPr>
            <w:r>
              <w:rPr>
                <w:rFonts w:hint="eastAsia" w:ascii="宋体" w:hAnsi="宋体"/>
                <w:bCs/>
                <w:sz w:val="24"/>
              </w:rPr>
              <w:t>投资者关系经理：汪玥含</w:t>
            </w:r>
          </w:p>
        </w:tc>
      </w:tr>
      <w:tr w14:paraId="318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908" w:type="dxa"/>
            <w:tcBorders>
              <w:top w:val="single" w:color="auto" w:sz="4" w:space="0"/>
              <w:left w:val="single" w:color="auto" w:sz="4" w:space="0"/>
              <w:bottom w:val="single" w:color="auto" w:sz="4" w:space="0"/>
              <w:right w:val="single" w:color="auto" w:sz="4" w:space="0"/>
            </w:tcBorders>
            <w:vAlign w:val="center"/>
          </w:tcPr>
          <w:p w14:paraId="38916402">
            <w:pPr>
              <w:spacing w:line="420" w:lineRule="exact"/>
              <w:rPr>
                <w:bCs/>
                <w:iCs/>
                <w:color w:val="000000"/>
                <w:kern w:val="0"/>
                <w:sz w:val="24"/>
              </w:rPr>
            </w:pPr>
            <w:r>
              <w:rPr>
                <w:rFonts w:hAnsi="宋体"/>
                <w:bCs/>
                <w:iCs/>
                <w:color w:val="000000"/>
                <w:kern w:val="0"/>
                <w:sz w:val="24"/>
              </w:rPr>
              <w:t>投资者关系活动主要内容介绍</w:t>
            </w:r>
          </w:p>
          <w:p w14:paraId="7C4C6E1E">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C595B59">
            <w:pPr>
              <w:spacing w:line="460" w:lineRule="exact"/>
              <w:rPr>
                <w:rFonts w:ascii="宋体" w:hAnsi="宋体"/>
                <w:b/>
                <w:sz w:val="24"/>
              </w:rPr>
            </w:pPr>
            <w:r>
              <w:rPr>
                <w:rFonts w:hint="eastAsia" w:ascii="宋体" w:hAnsi="宋体"/>
                <w:b/>
                <w:sz w:val="24"/>
              </w:rPr>
              <w:t>一、公司情况介绍</w:t>
            </w:r>
          </w:p>
          <w:p w14:paraId="1C1C4991">
            <w:pPr>
              <w:spacing w:line="460" w:lineRule="exact"/>
              <w:ind w:firstLine="480" w:firstLineChars="200"/>
              <w:rPr>
                <w:rFonts w:hint="default" w:ascii="宋体" w:hAnsi="宋体" w:eastAsia="宋体"/>
                <w:bCs/>
                <w:sz w:val="24"/>
                <w:lang w:val="en-US" w:eastAsia="zh-CN"/>
              </w:rPr>
            </w:pPr>
            <w:r>
              <w:rPr>
                <w:rFonts w:hint="eastAsia" w:ascii="宋体" w:hAnsi="宋体"/>
                <w:bCs/>
                <w:sz w:val="24"/>
              </w:rPr>
              <w:t>万润新能（688275）致力于成为全球领先的创新驱动型新能源材料企业。公司自成立以来始终坚持以全球新能源产业的前沿需求为导向，推动产品性能保持行业领先水平。公司主要聚焦于动力电池和储能电池用正极材料及其前驱体领域，产品涵盖磷酸铁锂、磷酸铁、钠离子电池材料、磷酸锰铁锂等。</w:t>
            </w:r>
            <w:r>
              <w:rPr>
                <w:rFonts w:hint="eastAsia" w:ascii="宋体" w:hAnsi="宋体"/>
                <w:bCs/>
                <w:sz w:val="24"/>
                <w:lang w:val="en-US" w:eastAsia="zh-CN"/>
              </w:rPr>
              <w:t>同时公司积极布局固态电池材料等行业前沿领域。</w:t>
            </w:r>
          </w:p>
          <w:p w14:paraId="0DE930E8">
            <w:pPr>
              <w:spacing w:line="460" w:lineRule="exact"/>
              <w:ind w:firstLine="480" w:firstLineChars="200"/>
              <w:rPr>
                <w:rFonts w:ascii="宋体" w:hAnsi="宋体"/>
                <w:bCs/>
                <w:sz w:val="24"/>
              </w:rPr>
            </w:pPr>
            <w:r>
              <w:rPr>
                <w:rFonts w:hint="eastAsia" w:ascii="宋体" w:hAnsi="宋体"/>
                <w:bCs/>
                <w:sz w:val="24"/>
              </w:rPr>
              <w:t>目前，公司已在中国、美国市场已建或在建先进磷酸铁锂产能，未来将统筹海内外两大市场，</w:t>
            </w:r>
            <w:r>
              <w:rPr>
                <w:rFonts w:hint="eastAsia" w:ascii="宋体" w:hAnsi="宋体"/>
                <w:sz w:val="24"/>
              </w:rPr>
              <w:t>构建公司上下游海内外产业链，实现全球供应链的整合和优化，形成全球化的产销网络。</w:t>
            </w:r>
          </w:p>
          <w:p w14:paraId="69E9A28C">
            <w:pPr>
              <w:spacing w:line="460" w:lineRule="exact"/>
              <w:ind w:firstLine="480" w:firstLineChars="200"/>
              <w:rPr>
                <w:rFonts w:ascii="宋体" w:hAnsi="宋体"/>
                <w:bCs/>
                <w:sz w:val="24"/>
              </w:rPr>
            </w:pPr>
          </w:p>
          <w:p w14:paraId="6AF20CFD">
            <w:pPr>
              <w:numPr>
                <w:ilvl w:val="0"/>
                <w:numId w:val="1"/>
              </w:numPr>
              <w:spacing w:line="460" w:lineRule="exact"/>
              <w:rPr>
                <w:rFonts w:ascii="宋体" w:hAnsi="宋体"/>
                <w:b/>
                <w:sz w:val="24"/>
              </w:rPr>
            </w:pPr>
            <w:r>
              <w:rPr>
                <w:rFonts w:ascii="宋体" w:hAnsi="宋体"/>
                <w:b/>
                <w:sz w:val="24"/>
              </w:rPr>
              <w:t>问题及回复</w:t>
            </w:r>
          </w:p>
          <w:p w14:paraId="224CDAC5">
            <w:pPr>
              <w:pStyle w:val="7"/>
              <w:spacing w:line="460" w:lineRule="exact"/>
              <w:ind w:firstLine="0" w:firstLineChars="0"/>
              <w:rPr>
                <w:rFonts w:ascii="宋体" w:hAnsi="宋体"/>
                <w:b/>
                <w:bCs/>
                <w:sz w:val="24"/>
                <w:szCs w:val="24"/>
              </w:rPr>
            </w:pPr>
            <w:r>
              <w:rPr>
                <w:rFonts w:hint="eastAsia" w:ascii="宋体" w:hAnsi="宋体"/>
                <w:b/>
                <w:bCs/>
                <w:sz w:val="24"/>
                <w:szCs w:val="24"/>
              </w:rPr>
              <w:t>Q</w:t>
            </w:r>
            <w:r>
              <w:rPr>
                <w:rFonts w:hint="eastAsia" w:ascii="宋体" w:hAnsi="宋体"/>
                <w:b/>
                <w:bCs/>
                <w:sz w:val="24"/>
                <w:szCs w:val="24"/>
                <w:lang w:val="en-US" w:eastAsia="zh-CN"/>
              </w:rPr>
              <w:t>1</w:t>
            </w:r>
            <w:r>
              <w:rPr>
                <w:rFonts w:hint="eastAsia" w:ascii="宋体" w:hAnsi="宋体"/>
                <w:b/>
                <w:bCs/>
                <w:sz w:val="24"/>
                <w:szCs w:val="24"/>
              </w:rPr>
              <w:t>：</w:t>
            </w:r>
            <w:r>
              <w:rPr>
                <w:rFonts w:hint="eastAsia" w:ascii="宋体" w:hAnsi="宋体"/>
                <w:b/>
                <w:bCs/>
                <w:sz w:val="24"/>
                <w:szCs w:val="24"/>
                <w:lang w:val="en-US" w:eastAsia="zh-CN"/>
              </w:rPr>
              <w:t>这段时间产品涨价的背景和落地情况</w:t>
            </w:r>
            <w:r>
              <w:rPr>
                <w:rFonts w:hint="eastAsia" w:ascii="宋体" w:hAnsi="宋体"/>
                <w:b/>
                <w:bCs/>
                <w:sz w:val="24"/>
                <w:szCs w:val="24"/>
              </w:rPr>
              <w:t>？</w:t>
            </w:r>
          </w:p>
          <w:p w14:paraId="3CCF4CF2">
            <w:pPr>
              <w:pStyle w:val="7"/>
              <w:spacing w:line="460" w:lineRule="exact"/>
              <w:ind w:firstLine="480"/>
              <w:rPr>
                <w:rFonts w:hint="default" w:ascii="宋体" w:hAnsi="宋体"/>
                <w:sz w:val="24"/>
                <w:szCs w:val="24"/>
                <w:lang w:val="en-US"/>
              </w:rPr>
            </w:pPr>
            <w:r>
              <w:rPr>
                <w:rFonts w:hint="eastAsia" w:ascii="宋体" w:hAnsi="宋体"/>
                <w:sz w:val="24"/>
                <w:szCs w:val="24"/>
              </w:rPr>
              <w:t>回答：下游储能</w:t>
            </w:r>
            <w:r>
              <w:rPr>
                <w:rFonts w:hint="eastAsia" w:ascii="宋体" w:hAnsi="宋体"/>
                <w:sz w:val="24"/>
                <w:szCs w:val="24"/>
                <w:lang w:eastAsia="zh-CN"/>
              </w:rPr>
              <w:t>、</w:t>
            </w:r>
            <w:r>
              <w:rPr>
                <w:rFonts w:hint="eastAsia" w:ascii="宋体" w:hAnsi="宋体"/>
                <w:sz w:val="24"/>
                <w:szCs w:val="24"/>
                <w:lang w:val="en-US" w:eastAsia="zh-CN"/>
              </w:rPr>
              <w:t>动力</w:t>
            </w:r>
            <w:r>
              <w:rPr>
                <w:rFonts w:hint="eastAsia" w:ascii="宋体" w:hAnsi="宋体"/>
                <w:sz w:val="24"/>
                <w:szCs w:val="24"/>
              </w:rPr>
              <w:t>市场持续高景气，</w:t>
            </w:r>
            <w:r>
              <w:rPr>
                <w:rFonts w:hint="eastAsia" w:ascii="宋体" w:hAnsi="宋体"/>
                <w:sz w:val="24"/>
                <w:szCs w:val="24"/>
                <w:lang w:val="en-US" w:eastAsia="zh-CN"/>
              </w:rPr>
              <w:t>尤其是在政策推动、经济性和AIDC配储等国内外新型增量场景频出等因素共同催化下，储能市场对于磷酸铁锂产品的需求大增。同时，行业整体经过两年多的亏损，扩产节奏放缓，</w:t>
            </w:r>
            <w:r>
              <w:rPr>
                <w:rFonts w:hint="eastAsia" w:ascii="宋体" w:hAnsi="宋体"/>
                <w:sz w:val="24"/>
                <w:szCs w:val="24"/>
              </w:rPr>
              <w:t>2025年</w:t>
            </w:r>
            <w:r>
              <w:rPr>
                <w:rFonts w:hint="eastAsia" w:ascii="宋体" w:hAnsi="宋体"/>
                <w:sz w:val="24"/>
                <w:szCs w:val="24"/>
                <w:lang w:val="en-US" w:eastAsia="zh-CN"/>
              </w:rPr>
              <w:t>第三季度</w:t>
            </w:r>
            <w:r>
              <w:rPr>
                <w:rFonts w:hint="eastAsia" w:ascii="宋体" w:hAnsi="宋体"/>
                <w:sz w:val="24"/>
                <w:szCs w:val="24"/>
              </w:rPr>
              <w:t>，公司综合毛利率较上年同期上升</w:t>
            </w:r>
            <w:r>
              <w:rPr>
                <w:rFonts w:hint="eastAsia" w:ascii="宋体" w:hAnsi="宋体"/>
                <w:sz w:val="24"/>
                <w:szCs w:val="24"/>
                <w:lang w:eastAsia="zh-CN"/>
              </w:rPr>
              <w:t>3</w:t>
            </w:r>
            <w:r>
              <w:rPr>
                <w:rFonts w:hint="eastAsia" w:ascii="宋体" w:hAnsi="宋体"/>
                <w:sz w:val="24"/>
                <w:szCs w:val="24"/>
                <w:lang w:val="en-US" w:eastAsia="zh-CN"/>
              </w:rPr>
              <w:t>.28</w:t>
            </w:r>
            <w:r>
              <w:rPr>
                <w:rFonts w:hint="eastAsia" w:ascii="宋体" w:hAnsi="宋体"/>
                <w:sz w:val="24"/>
                <w:szCs w:val="24"/>
              </w:rPr>
              <w:t>%，业绩亏损逐步收窄</w:t>
            </w:r>
            <w:r>
              <w:rPr>
                <w:rFonts w:hint="eastAsia" w:ascii="宋体" w:hAnsi="宋体"/>
                <w:sz w:val="24"/>
                <w:szCs w:val="24"/>
                <w:lang w:val="en-US" w:eastAsia="zh-CN"/>
              </w:rPr>
              <w:t>。目前，公司已与客户开展商务谈判，并取得积极效果。</w:t>
            </w:r>
          </w:p>
          <w:p w14:paraId="3224655F">
            <w:pPr>
              <w:widowControl w:val="0"/>
              <w:numPr>
                <w:ilvl w:val="0"/>
                <w:numId w:val="0"/>
              </w:numPr>
              <w:spacing w:line="460" w:lineRule="exact"/>
              <w:jc w:val="both"/>
              <w:rPr>
                <w:rFonts w:ascii="宋体" w:hAnsi="宋体"/>
                <w:b/>
                <w:sz w:val="24"/>
              </w:rPr>
            </w:pPr>
          </w:p>
          <w:p w14:paraId="0F781076">
            <w:pPr>
              <w:pStyle w:val="7"/>
              <w:spacing w:line="460" w:lineRule="exact"/>
              <w:ind w:firstLine="0" w:firstLineChars="0"/>
              <w:rPr>
                <w:rFonts w:ascii="宋体" w:hAnsi="宋体"/>
                <w:b/>
                <w:bCs/>
                <w:sz w:val="24"/>
                <w:szCs w:val="24"/>
              </w:rPr>
            </w:pPr>
            <w:r>
              <w:rPr>
                <w:rFonts w:hint="eastAsia" w:ascii="宋体" w:hAnsi="宋体"/>
                <w:b/>
                <w:bCs/>
                <w:sz w:val="24"/>
                <w:szCs w:val="24"/>
              </w:rPr>
              <w:t>Q</w:t>
            </w:r>
            <w:r>
              <w:rPr>
                <w:rFonts w:hint="eastAsia" w:ascii="宋体" w:hAnsi="宋体"/>
                <w:b/>
                <w:bCs/>
                <w:sz w:val="24"/>
                <w:szCs w:val="24"/>
                <w:lang w:val="en-US" w:eastAsia="zh-CN"/>
              </w:rPr>
              <w:t>2</w:t>
            </w:r>
            <w:r>
              <w:rPr>
                <w:rFonts w:hint="eastAsia" w:ascii="宋体" w:hAnsi="宋体"/>
                <w:b/>
                <w:bCs/>
                <w:sz w:val="24"/>
                <w:szCs w:val="24"/>
              </w:rPr>
              <w:t>：</w:t>
            </w:r>
            <w:r>
              <w:rPr>
                <w:rFonts w:hint="eastAsia" w:ascii="宋体" w:hAnsi="宋体"/>
                <w:b/>
                <w:bCs/>
                <w:sz w:val="24"/>
                <w:szCs w:val="24"/>
                <w:lang w:val="en-US" w:eastAsia="zh-CN"/>
              </w:rPr>
              <w:t>近期</w:t>
            </w:r>
            <w:r>
              <w:rPr>
                <w:rFonts w:hint="eastAsia" w:ascii="宋体" w:hAnsi="宋体" w:eastAsia="宋体" w:cs="Times New Roman"/>
                <w:b/>
                <w:bCs/>
                <w:kern w:val="2"/>
                <w:sz w:val="24"/>
                <w:szCs w:val="24"/>
                <w:lang w:val="en-US" w:eastAsia="zh-CN" w:bidi="ar-SA"/>
              </w:rPr>
              <w:t>中国化学与物理电源行业协会</w:t>
            </w:r>
            <w:r>
              <w:rPr>
                <w:rFonts w:hint="eastAsia" w:ascii="宋体" w:hAnsi="宋体" w:cs="Times New Roman"/>
                <w:b/>
                <w:bCs/>
                <w:kern w:val="2"/>
                <w:sz w:val="24"/>
                <w:szCs w:val="24"/>
                <w:lang w:val="en-US" w:eastAsia="zh-CN" w:bidi="ar-SA"/>
              </w:rPr>
              <w:t>主办的《磷酸铁锂材料行业成本研究》研讨会及后续通知具体情况？公司如何和落实铁锂行业反内卷工作？</w:t>
            </w:r>
          </w:p>
          <w:p w14:paraId="56FE8026">
            <w:pPr>
              <w:pStyle w:val="7"/>
              <w:spacing w:line="460" w:lineRule="exact"/>
              <w:ind w:firstLine="480"/>
              <w:rPr>
                <w:rFonts w:hint="default" w:ascii="宋体" w:hAnsi="宋体"/>
                <w:sz w:val="24"/>
                <w:szCs w:val="24"/>
                <w:lang w:val="en-US" w:eastAsia="zh-CN"/>
              </w:rPr>
            </w:pPr>
            <w:r>
              <w:rPr>
                <w:rFonts w:hint="eastAsia" w:ascii="宋体" w:hAnsi="宋体"/>
                <w:sz w:val="24"/>
                <w:szCs w:val="24"/>
              </w:rPr>
              <w:t>回答：</w:t>
            </w:r>
            <w:r>
              <w:rPr>
                <w:rFonts w:hint="eastAsia" w:ascii="宋体" w:hAnsi="宋体"/>
                <w:sz w:val="24"/>
                <w:szCs w:val="24"/>
                <w:lang w:val="en-US" w:eastAsia="zh-CN"/>
              </w:rPr>
              <w:t>中央</w:t>
            </w:r>
            <w:bookmarkStart w:id="0" w:name="_GoBack"/>
            <w:bookmarkEnd w:id="0"/>
            <w:r>
              <w:rPr>
                <w:rFonts w:hint="eastAsia" w:ascii="宋体" w:hAnsi="宋体"/>
                <w:sz w:val="24"/>
                <w:szCs w:val="24"/>
                <w:lang w:val="en-US" w:eastAsia="zh-CN"/>
              </w:rPr>
              <w:t>明确要求“加快构建全国统一大市场，着力整治一些领域的‘内卷式’竞争”。中央经济工作会议强调，综合整治“内卷式”竞争，规范地方政府和企业行为。高层也提出规范新能源产业链供应链发展秩序，坚决打击扰乱市场行为，支持新能源龙头企业、行业协会利用自身优势，引导供应链之间、供应链与市场之间协调发展。</w:t>
            </w:r>
          </w:p>
          <w:p w14:paraId="34E305BB">
            <w:pPr>
              <w:pStyle w:val="7"/>
              <w:spacing w:line="460" w:lineRule="exact"/>
              <w:ind w:firstLine="480"/>
              <w:rPr>
                <w:rFonts w:hint="eastAsia" w:ascii="宋体" w:hAnsi="宋体"/>
                <w:sz w:val="24"/>
                <w:szCs w:val="24"/>
                <w:lang w:val="en-US" w:eastAsia="zh-CN"/>
              </w:rPr>
            </w:pPr>
            <w:r>
              <w:rPr>
                <w:rFonts w:hint="eastAsia" w:ascii="宋体" w:hAnsi="宋体"/>
                <w:sz w:val="24"/>
                <w:szCs w:val="24"/>
                <w:lang w:val="en-US" w:eastAsia="zh-CN"/>
              </w:rPr>
              <w:t>2025年</w:t>
            </w:r>
            <w:r>
              <w:rPr>
                <w:rFonts w:hint="eastAsia" w:ascii="宋体" w:hAnsi="宋体"/>
                <w:sz w:val="24"/>
                <w:szCs w:val="24"/>
              </w:rPr>
              <w:t>11月18日，以“合规筑基 创新降本 共生破局”为主题的《磷酸铁锂材料行业成本研究》研讨会在工业和信息化部新闻宣传中心发布厅召开</w:t>
            </w:r>
            <w:r>
              <w:rPr>
                <w:rFonts w:hint="eastAsia" w:ascii="宋体" w:hAnsi="宋体"/>
                <w:sz w:val="24"/>
                <w:szCs w:val="24"/>
                <w:lang w:eastAsia="zh-CN"/>
              </w:rPr>
              <w:t>，</w:t>
            </w:r>
            <w:r>
              <w:rPr>
                <w:rFonts w:hint="eastAsia" w:ascii="宋体" w:hAnsi="宋体"/>
                <w:sz w:val="24"/>
                <w:szCs w:val="24"/>
                <w:lang w:val="en-US" w:eastAsia="zh-CN"/>
              </w:rPr>
              <w:t>万润新能作为行业龙头企业及协会会员受邀参会。研讨会上，协会正式发布《磷酸铁锂材料行业成本研究》，其基于2025年1－9月一次烧结工艺（二次烧结成本会更高）、压实密度2.4－2.55g/cm³（主流应用规格）的磷酸铁锂材料，选用平均法与市场份额加权法得出15714.8元/吨－16439.3元/吨（未税价格）为行业平均成本区间，为企业提供了明确的价值参考。</w:t>
            </w:r>
          </w:p>
          <w:p w14:paraId="2D2C49DA">
            <w:pPr>
              <w:pStyle w:val="7"/>
              <w:spacing w:line="460" w:lineRule="exact"/>
              <w:ind w:firstLine="480"/>
              <w:rPr>
                <w:rFonts w:hint="eastAsia" w:ascii="宋体" w:hAnsi="宋体"/>
                <w:sz w:val="24"/>
                <w:szCs w:val="24"/>
                <w:lang w:val="en-US" w:eastAsia="zh-CN"/>
              </w:rPr>
            </w:pPr>
            <w:r>
              <w:rPr>
                <w:rFonts w:hint="eastAsia" w:ascii="宋体" w:hAnsi="宋体"/>
                <w:sz w:val="24"/>
                <w:szCs w:val="24"/>
                <w:lang w:val="en-US" w:eastAsia="zh-CN"/>
              </w:rPr>
              <w:t>近日，公司收到中国化学与物理电源行业协会铁锂材料分会下发的《关于参考&lt;磷酸铁锂成本指数&gt;及规范行业发展的通知》，通知要求包括公司在内的各会员企业要提高政治站位，协作共赢，会员企业需参考成本指数报价底线，不得突破上述成本红线开展低价销售，坚决遏制行业恶性低价竞争，扭转全行业亏损的局面。同时，协会建议各公司现阶段谨慎扩产。</w:t>
            </w:r>
          </w:p>
          <w:p w14:paraId="12B269C6">
            <w:pPr>
              <w:pStyle w:val="7"/>
              <w:spacing w:line="460" w:lineRule="exact"/>
              <w:ind w:firstLine="480"/>
              <w:rPr>
                <w:rFonts w:hint="default" w:ascii="宋体" w:hAnsi="宋体"/>
                <w:sz w:val="24"/>
                <w:szCs w:val="24"/>
                <w:lang w:val="en-US" w:eastAsia="zh-CN"/>
              </w:rPr>
            </w:pPr>
            <w:r>
              <w:rPr>
                <w:rFonts w:hint="eastAsia" w:ascii="宋体" w:hAnsi="宋体"/>
                <w:sz w:val="24"/>
                <w:szCs w:val="24"/>
                <w:lang w:val="en-US" w:eastAsia="zh-CN"/>
              </w:rPr>
              <w:t>公司认为，“内卷式”竞争不仅影响产业长远竞争力，干扰市场秩序，也阻碍经济良性循环。本次行业协会组织召开行业研讨会和相关通知，是落实中央反内卷要求和推动行业高质量发展的具体实践。包括公司在内的协会会员企业执行上述成本红线进行销售定价能够助力改善经营质量，有效提升盈利水平。因此，公司高度重视上述会议精神和协会通知，将采取实质性动作落实协会要求，以提升公司盈利能力、持续提升产品竞争力，促进行业良性发展为目标进行经营决策。</w:t>
            </w:r>
          </w:p>
          <w:p w14:paraId="6CB4A99C">
            <w:pPr>
              <w:pStyle w:val="7"/>
              <w:spacing w:line="460" w:lineRule="exact"/>
              <w:ind w:firstLine="0" w:firstLineChars="0"/>
              <w:rPr>
                <w:rFonts w:ascii="宋体" w:hAnsi="宋体"/>
                <w:b/>
                <w:bCs/>
                <w:sz w:val="24"/>
                <w:szCs w:val="24"/>
              </w:rPr>
            </w:pPr>
          </w:p>
          <w:p w14:paraId="0DA47F9D">
            <w:pPr>
              <w:pStyle w:val="7"/>
              <w:spacing w:line="460" w:lineRule="exact"/>
              <w:ind w:firstLine="0" w:firstLineChars="0"/>
              <w:rPr>
                <w:rFonts w:ascii="宋体" w:hAnsi="宋体"/>
                <w:b/>
                <w:bCs/>
                <w:sz w:val="24"/>
                <w:szCs w:val="24"/>
              </w:rPr>
            </w:pPr>
            <w:r>
              <w:rPr>
                <w:rFonts w:hint="eastAsia" w:ascii="宋体" w:hAnsi="宋体"/>
                <w:b/>
                <w:bCs/>
                <w:sz w:val="24"/>
                <w:szCs w:val="24"/>
              </w:rPr>
              <w:t>Q3：请问公司</w:t>
            </w:r>
            <w:r>
              <w:rPr>
                <w:rFonts w:hint="eastAsia" w:ascii="宋体" w:hAnsi="宋体"/>
                <w:b/>
                <w:bCs/>
                <w:sz w:val="24"/>
                <w:szCs w:val="24"/>
                <w:lang w:val="en-US" w:eastAsia="zh-CN"/>
              </w:rPr>
              <w:t>对于</w:t>
            </w:r>
            <w:r>
              <w:rPr>
                <w:rFonts w:hint="eastAsia" w:ascii="宋体" w:hAnsi="宋体"/>
                <w:b/>
                <w:bCs/>
                <w:sz w:val="24"/>
                <w:szCs w:val="24"/>
              </w:rPr>
              <w:t>扩产</w:t>
            </w:r>
            <w:r>
              <w:rPr>
                <w:rFonts w:hint="eastAsia" w:ascii="宋体" w:hAnsi="宋体"/>
                <w:b/>
                <w:bCs/>
                <w:sz w:val="24"/>
                <w:szCs w:val="24"/>
                <w:lang w:val="en-US" w:eastAsia="zh-CN"/>
              </w:rPr>
              <w:t>的态度</w:t>
            </w:r>
            <w:r>
              <w:rPr>
                <w:rFonts w:hint="eastAsia" w:ascii="宋体" w:hAnsi="宋体"/>
                <w:b/>
                <w:bCs/>
                <w:sz w:val="24"/>
                <w:szCs w:val="24"/>
              </w:rPr>
              <w:t>？</w:t>
            </w:r>
          </w:p>
          <w:p w14:paraId="4A47E41C">
            <w:pPr>
              <w:pStyle w:val="7"/>
              <w:spacing w:line="460" w:lineRule="exact"/>
              <w:ind w:left="-2" w:leftChars="-1" w:firstLine="480"/>
              <w:rPr>
                <w:rFonts w:hint="default" w:ascii="宋体" w:hAnsi="宋体" w:eastAsia="宋体"/>
                <w:sz w:val="24"/>
                <w:szCs w:val="24"/>
                <w:lang w:val="en-US" w:eastAsia="zh-CN"/>
              </w:rPr>
            </w:pPr>
            <w:r>
              <w:rPr>
                <w:rFonts w:hint="eastAsia" w:ascii="宋体" w:hAnsi="宋体"/>
                <w:sz w:val="24"/>
              </w:rPr>
              <w:t>回答：公司将结合下游客户需求指引、是否有助于提升盈利能力、行业发展趋势等因素综合审慎决策扩产事宜。</w:t>
            </w:r>
            <w:r>
              <w:rPr>
                <w:rFonts w:hint="eastAsia" w:ascii="宋体" w:hAnsi="宋体"/>
                <w:sz w:val="24"/>
                <w:lang w:val="en-US" w:eastAsia="zh-CN"/>
              </w:rPr>
              <w:t>同时，根据协会通知和行业良性发展要求，公司在盈利能力修复至合理水平前谨慎考虑扩产。</w:t>
            </w:r>
          </w:p>
          <w:p w14:paraId="755BBF49">
            <w:pPr>
              <w:pStyle w:val="7"/>
              <w:spacing w:line="460" w:lineRule="exact"/>
              <w:ind w:firstLine="0" w:firstLineChars="0"/>
              <w:rPr>
                <w:rFonts w:ascii="宋体" w:hAnsi="宋体"/>
                <w:sz w:val="24"/>
                <w:szCs w:val="24"/>
              </w:rPr>
            </w:pPr>
          </w:p>
          <w:p w14:paraId="7F9C079D">
            <w:pPr>
              <w:pStyle w:val="7"/>
              <w:spacing w:line="460" w:lineRule="exact"/>
              <w:ind w:firstLine="0" w:firstLineChars="0"/>
              <w:rPr>
                <w:rFonts w:ascii="宋体" w:hAnsi="宋体"/>
                <w:b/>
                <w:bCs/>
                <w:sz w:val="24"/>
                <w:szCs w:val="24"/>
              </w:rPr>
            </w:pPr>
            <w:r>
              <w:rPr>
                <w:rFonts w:hint="eastAsia" w:ascii="宋体" w:hAnsi="宋体"/>
                <w:b/>
                <w:bCs/>
                <w:sz w:val="24"/>
                <w:szCs w:val="24"/>
              </w:rPr>
              <w:t>Q4：请公司介绍下美国磷酸铁锂项目的最新情况？</w:t>
            </w:r>
          </w:p>
          <w:p w14:paraId="73644D6B">
            <w:pPr>
              <w:pStyle w:val="7"/>
              <w:spacing w:line="460" w:lineRule="exact"/>
              <w:ind w:left="-2" w:leftChars="-1" w:firstLine="480"/>
              <w:rPr>
                <w:rFonts w:ascii="宋体" w:hAnsi="宋体"/>
                <w:sz w:val="24"/>
                <w:szCs w:val="24"/>
              </w:rPr>
            </w:pPr>
            <w:r>
              <w:rPr>
                <w:rFonts w:hint="eastAsia" w:ascii="宋体" w:hAnsi="宋体"/>
                <w:sz w:val="24"/>
              </w:rPr>
              <w:t>回答：公司美国项目贴近国际终端消费市场，具备一定的稀缺性，是公司提升全球市场竞争力的重要战略举措。目前公司正按照计划稳步推进美国项目的建设工作，并同步推进客户对接工作。</w:t>
            </w:r>
          </w:p>
          <w:p w14:paraId="602E40E3">
            <w:pPr>
              <w:pStyle w:val="7"/>
              <w:spacing w:line="460" w:lineRule="exact"/>
              <w:ind w:firstLine="0" w:firstLineChars="0"/>
              <w:rPr>
                <w:rFonts w:ascii="宋体" w:hAnsi="宋体"/>
                <w:bCs/>
                <w:iCs/>
                <w:color w:val="000000"/>
                <w:sz w:val="24"/>
              </w:rPr>
            </w:pPr>
          </w:p>
        </w:tc>
      </w:tr>
      <w:tr w14:paraId="5AB2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F1D090B">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22B30B33">
            <w:pPr>
              <w:spacing w:line="420" w:lineRule="exact"/>
              <w:rPr>
                <w:bCs/>
                <w:iCs/>
                <w:color w:val="000000"/>
                <w:sz w:val="24"/>
              </w:rPr>
            </w:pPr>
            <w:r>
              <w:rPr>
                <w:rFonts w:hint="eastAsia"/>
                <w:bCs/>
                <w:iCs/>
                <w:color w:val="000000"/>
                <w:sz w:val="24"/>
              </w:rPr>
              <w:t>无</w:t>
            </w:r>
          </w:p>
        </w:tc>
      </w:tr>
      <w:tr w14:paraId="100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08" w:type="dxa"/>
            <w:tcBorders>
              <w:top w:val="single" w:color="auto" w:sz="4" w:space="0"/>
              <w:left w:val="single" w:color="auto" w:sz="4" w:space="0"/>
              <w:right w:val="single" w:color="auto" w:sz="4" w:space="0"/>
            </w:tcBorders>
            <w:vAlign w:val="center"/>
          </w:tcPr>
          <w:p w14:paraId="0D26DBB0">
            <w:pPr>
              <w:spacing w:line="420" w:lineRule="exact"/>
              <w:rPr>
                <w:bCs/>
                <w:iCs/>
                <w:color w:val="000000"/>
                <w:kern w:val="0"/>
                <w:sz w:val="24"/>
              </w:rPr>
            </w:pPr>
            <w:r>
              <w:rPr>
                <w:rFonts w:hint="eastAsia"/>
                <w:bCs/>
                <w:iCs/>
                <w:color w:val="000000"/>
                <w:kern w:val="0"/>
                <w:sz w:val="24"/>
              </w:rPr>
              <w:t>风险提示</w:t>
            </w:r>
          </w:p>
        </w:tc>
        <w:tc>
          <w:tcPr>
            <w:tcW w:w="6847" w:type="dxa"/>
            <w:tcBorders>
              <w:top w:val="single" w:color="auto" w:sz="4" w:space="0"/>
              <w:left w:val="single" w:color="auto" w:sz="4" w:space="0"/>
              <w:bottom w:val="single" w:color="auto" w:sz="4" w:space="0"/>
              <w:right w:val="single" w:color="auto" w:sz="4" w:space="0"/>
            </w:tcBorders>
          </w:tcPr>
          <w:p w14:paraId="68A4821C">
            <w:pPr>
              <w:spacing w:line="420" w:lineRule="exact"/>
              <w:rPr>
                <w:bCs/>
                <w:iCs/>
                <w:color w:val="000000"/>
                <w:sz w:val="24"/>
              </w:rPr>
            </w:pPr>
            <w:r>
              <w:rPr>
                <w:rFonts w:hint="eastAsia"/>
                <w:bCs/>
                <w:iCs/>
                <w:color w:val="000000"/>
                <w:sz w:val="24"/>
              </w:rPr>
              <w:t>以上如涉及对行业发展趋势判断、公司发展规划等相关内容，不能视作公司或公司管理层对行业、公司发展的承诺和保证。敬请广大投资者注意投资风险。</w:t>
            </w:r>
          </w:p>
        </w:tc>
      </w:tr>
      <w:tr w14:paraId="335F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08" w:type="dxa"/>
            <w:tcBorders>
              <w:left w:val="single" w:color="auto" w:sz="4" w:space="0"/>
              <w:bottom w:val="single" w:color="auto" w:sz="4" w:space="0"/>
              <w:right w:val="single" w:color="auto" w:sz="4" w:space="0"/>
            </w:tcBorders>
            <w:vAlign w:val="center"/>
          </w:tcPr>
          <w:p w14:paraId="374DDCAA">
            <w:pPr>
              <w:spacing w:line="420" w:lineRule="exact"/>
              <w:rPr>
                <w:rFonts w:hAnsi="宋体"/>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41173BDA">
            <w:pPr>
              <w:spacing w:line="420" w:lineRule="exact"/>
              <w:rPr>
                <w:bCs/>
                <w:iCs/>
                <w:color w:val="000000"/>
                <w:sz w:val="24"/>
              </w:rPr>
            </w:pPr>
            <w:r>
              <w:rPr>
                <w:rFonts w:hint="eastAsia"/>
                <w:bCs/>
                <w:iCs/>
                <w:color w:val="000000"/>
                <w:sz w:val="24"/>
              </w:rPr>
              <w:t>2025年</w:t>
            </w:r>
            <w:r>
              <w:rPr>
                <w:rFonts w:hint="eastAsia"/>
                <w:bCs/>
                <w:iCs/>
                <w:color w:val="000000"/>
                <w:sz w:val="24"/>
                <w:lang w:val="en-US" w:eastAsia="zh-CN"/>
              </w:rPr>
              <w:t>11</w:t>
            </w:r>
            <w:r>
              <w:rPr>
                <w:rFonts w:hint="eastAsia"/>
                <w:bCs/>
                <w:iCs/>
                <w:color w:val="000000"/>
                <w:sz w:val="24"/>
              </w:rPr>
              <w:t>月</w:t>
            </w:r>
            <w:r>
              <w:rPr>
                <w:rFonts w:hint="eastAsia"/>
                <w:bCs/>
                <w:iCs/>
                <w:color w:val="000000"/>
                <w:sz w:val="24"/>
                <w:lang w:val="en-US" w:eastAsia="zh-CN"/>
              </w:rPr>
              <w:t>24</w:t>
            </w:r>
            <w:r>
              <w:rPr>
                <w:rFonts w:hint="eastAsia"/>
                <w:bCs/>
                <w:iCs/>
                <w:color w:val="000000"/>
                <w:sz w:val="24"/>
              </w:rPr>
              <w:t>日</w:t>
            </w:r>
          </w:p>
        </w:tc>
      </w:tr>
    </w:tbl>
    <w:p w14:paraId="3142B8F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FC27">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64F">
    <w:pPr>
      <w:pStyle w:val="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A40BC"/>
    <w:multiLevelType w:val="singleLevel"/>
    <w:tmpl w:val="213A40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BC654E"/>
    <w:rsid w:val="136C7B89"/>
    <w:rsid w:val="2DD3248F"/>
    <w:rsid w:val="3D2164D6"/>
    <w:rsid w:val="477E30AA"/>
    <w:rsid w:val="53052442"/>
    <w:rsid w:val="5D901BE5"/>
    <w:rsid w:val="62F0138A"/>
    <w:rsid w:val="6399357B"/>
    <w:rsid w:val="6512416D"/>
    <w:rsid w:val="7A8A4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customStyle="1" w:styleId="13">
    <w:name w:val="修订1"/>
    <w:qFormat/>
    <w:uiPriority w:val="99"/>
    <w:rPr>
      <w:rFonts w:ascii="Times New Roman" w:hAnsi="Times New Roman" w:eastAsia="宋体" w:cs="Times New Roman"/>
      <w:kern w:val="2"/>
      <w:sz w:val="21"/>
      <w:szCs w:val="24"/>
      <w:lang w:val="en-US" w:eastAsia="zh-CN" w:bidi="ar-SA"/>
    </w:rPr>
  </w:style>
  <w:style w:type="character" w:customStyle="1" w:styleId="14">
    <w:name w:val="HTML 预设格式 字符"/>
    <w:basedOn w:val="6"/>
    <w:link w:val="4"/>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2076</Words>
  <Characters>2148</Characters>
  <Paragraphs>65</Paragraphs>
  <TotalTime>34</TotalTime>
  <ScaleCrop>false</ScaleCrop>
  <LinksUpToDate>false</LinksUpToDate>
  <CharactersWithSpaces>2201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2025-11-22T10:40:00Z</dcterms:created>
  <dc:creator>微软用户</dc:creator>
  <cp:lastModifiedBy>董办</cp:lastModifiedBy>
  <cp:lastPrinted>2024-12-08T09:09:00Z</cp:lastPrinted>
  <dcterms:modified xsi:type="dcterms:W3CDTF">2025-11-25T01:19:56Z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EC008637CAAD48EB9D86D781855422B4_13</vt:lpwstr>
  </property>
  <property fmtid="{D5CDD505-2E9C-101B-9397-08002B2CF9AE}" pid="4" name="KSOTemplateDocerSaveRecord">
    <vt:lpwstr>eyJoZGlkIjoiYzg0NGNkNzcyMWNiZWJiOGI2NzU1ZjE0MGFjMmEyNmEiLCJ1c2VySWQiOiIyNzM2MjU4ODAifQ==</vt:lpwstr>
  </property>
</Properties>
</file>