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3113D">
      <w:pPr>
        <w:spacing w:line="360" w:lineRule="auto"/>
        <w:jc w:val="left"/>
        <w:rPr>
          <w:rFonts w:ascii="宋体" w:hAnsi="宋体"/>
          <w:b/>
          <w:szCs w:val="21"/>
        </w:rPr>
      </w:pPr>
      <w:r>
        <w:rPr>
          <w:rFonts w:hint="eastAsia" w:ascii="宋体" w:hAnsi="宋体"/>
          <w:bCs/>
          <w:iCs/>
          <w:szCs w:val="21"/>
        </w:rPr>
        <w:t>证券代码：688</w:t>
      </w:r>
      <w:r>
        <w:rPr>
          <w:rFonts w:ascii="宋体" w:hAnsi="宋体"/>
          <w:bCs/>
          <w:iCs/>
          <w:szCs w:val="21"/>
        </w:rPr>
        <w:t xml:space="preserve">455                                           </w:t>
      </w:r>
      <w:r>
        <w:rPr>
          <w:rFonts w:hint="eastAsia" w:ascii="宋体" w:hAnsi="宋体"/>
          <w:bCs/>
          <w:iCs/>
          <w:szCs w:val="21"/>
        </w:rPr>
        <w:t>证券简称：科捷智能</w:t>
      </w:r>
    </w:p>
    <w:p w14:paraId="07B3366D">
      <w:pPr>
        <w:spacing w:line="360" w:lineRule="auto"/>
        <w:jc w:val="center"/>
        <w:rPr>
          <w:b/>
          <w:sz w:val="24"/>
          <w:szCs w:val="24"/>
        </w:rPr>
      </w:pPr>
      <w:r>
        <w:rPr>
          <w:rFonts w:hint="eastAsia"/>
          <w:b/>
          <w:sz w:val="24"/>
          <w:szCs w:val="24"/>
        </w:rPr>
        <w:t>科捷智能科技股份有限公司</w:t>
      </w:r>
    </w:p>
    <w:p w14:paraId="3A01AB09">
      <w:pPr>
        <w:spacing w:line="360" w:lineRule="auto"/>
        <w:jc w:val="center"/>
        <w:rPr>
          <w:b/>
          <w:sz w:val="24"/>
          <w:szCs w:val="24"/>
        </w:rPr>
      </w:pPr>
      <w:r>
        <w:rPr>
          <w:rFonts w:hint="eastAsia"/>
          <w:b/>
          <w:sz w:val="24"/>
          <w:szCs w:val="24"/>
        </w:rPr>
        <w:t>投资者关系活动记录表</w:t>
      </w:r>
    </w:p>
    <w:p w14:paraId="42ABFFC0">
      <w:pPr>
        <w:spacing w:line="360" w:lineRule="auto"/>
        <w:ind w:right="630"/>
        <w:jc w:val="right"/>
        <w:rPr>
          <w:rFonts w:hint="eastAsia" w:eastAsia="宋体"/>
          <w:lang w:eastAsia="zh-CN"/>
        </w:rPr>
      </w:pPr>
      <w:r>
        <w:rPr>
          <w:rFonts w:hint="eastAsia"/>
        </w:rPr>
        <w:t xml:space="preserve"> </w:t>
      </w:r>
      <w:r>
        <w:t xml:space="preserve">                           </w:t>
      </w:r>
      <w:r>
        <w:rPr>
          <w:rFonts w:hint="eastAsia"/>
        </w:rPr>
        <w:t>编号：2</w:t>
      </w:r>
      <w:r>
        <w:t>02</w:t>
      </w:r>
      <w:r>
        <w:rPr>
          <w:rFonts w:hint="default"/>
          <w:lang w:val="en-US"/>
        </w:rPr>
        <w:t>5</w:t>
      </w:r>
      <w:r>
        <w:rPr>
          <w:rFonts w:hint="eastAsia"/>
        </w:rPr>
        <w:t>-</w:t>
      </w:r>
      <w:r>
        <w:t>00</w:t>
      </w:r>
      <w:r>
        <w:rPr>
          <w:rFonts w:hint="eastAsia"/>
          <w:lang w:val="en-US" w:eastAsia="zh-CN"/>
        </w:rPr>
        <w:t>7</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967"/>
      </w:tblGrid>
      <w:tr w14:paraId="59C7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C2DF767">
            <w:pPr>
              <w:spacing w:line="360" w:lineRule="auto"/>
              <w:jc w:val="center"/>
              <w:rPr>
                <w:rFonts w:hint="default" w:ascii="Times New Roman" w:hAnsi="Times New Roman" w:cs="Times New Roman"/>
                <w:b/>
                <w:bCs/>
                <w:iCs/>
                <w:szCs w:val="21"/>
              </w:rPr>
            </w:pPr>
            <w:r>
              <w:rPr>
                <w:rFonts w:hint="default" w:ascii="Times New Roman" w:hAnsi="Times New Roman" w:cs="Times New Roman"/>
                <w:b/>
                <w:bCs/>
                <w:iCs/>
                <w:szCs w:val="21"/>
              </w:rPr>
              <w:t>投资者关系</w:t>
            </w:r>
          </w:p>
          <w:p w14:paraId="1A8113A2">
            <w:pPr>
              <w:spacing w:line="360" w:lineRule="auto"/>
              <w:jc w:val="center"/>
              <w:rPr>
                <w:rFonts w:hint="default" w:ascii="Times New Roman" w:hAnsi="Times New Roman" w:cs="Times New Roman"/>
                <w:b/>
                <w:bCs/>
                <w:iCs/>
                <w:szCs w:val="21"/>
              </w:rPr>
            </w:pPr>
            <w:r>
              <w:rPr>
                <w:rFonts w:hint="default" w:ascii="Times New Roman" w:hAnsi="Times New Roman" w:cs="Times New Roman"/>
                <w:b/>
                <w:bCs/>
                <w:iCs/>
                <w:szCs w:val="21"/>
              </w:rPr>
              <w:t>活动类别</w:t>
            </w:r>
          </w:p>
        </w:tc>
        <w:tc>
          <w:tcPr>
            <w:tcW w:w="6967" w:type="dxa"/>
          </w:tcPr>
          <w:p w14:paraId="16149B5B">
            <w:pPr>
              <w:spacing w:line="360" w:lineRule="auto"/>
              <w:rPr>
                <w:rFonts w:hint="default" w:ascii="Times New Roman" w:hAnsi="Times New Roman" w:cs="Times New Roman"/>
                <w:bCs/>
                <w:iCs/>
                <w:szCs w:val="21"/>
              </w:rPr>
            </w:pPr>
            <w:r>
              <w:rPr>
                <w:rFonts w:hint="default" w:ascii="Times New Roman" w:hAnsi="Times New Roman" w:cs="Times New Roman"/>
                <w:bCs/>
                <w:iCs/>
                <w:szCs w:val="21"/>
              </w:rPr>
              <w:t>□特定对象调研       □ 分析师会议</w:t>
            </w:r>
          </w:p>
          <w:p w14:paraId="4B151E3E">
            <w:pPr>
              <w:spacing w:line="360" w:lineRule="auto"/>
              <w:rPr>
                <w:rFonts w:hint="default" w:ascii="Times New Roman" w:hAnsi="Times New Roman" w:cs="Times New Roman"/>
                <w:bCs/>
                <w:iCs/>
                <w:szCs w:val="21"/>
              </w:rPr>
            </w:pPr>
            <w:r>
              <w:rPr>
                <w:rFonts w:hint="default" w:ascii="Times New Roman" w:hAnsi="Times New Roman" w:cs="Times New Roman"/>
                <w:bCs/>
                <w:iCs/>
                <w:szCs w:val="21"/>
              </w:rPr>
              <w:t xml:space="preserve">□媒体采访           </w:t>
            </w:r>
            <w:r>
              <w:rPr>
                <w:rFonts w:hint="default" w:ascii="Times New Roman" w:hAnsi="Times New Roman" w:cs="Times New Roman"/>
                <w:bCs/>
                <w:iCs/>
                <w:szCs w:val="21"/>
                <w:lang w:eastAsia="zh-CN"/>
              </w:rPr>
              <w:t>☑</w:t>
            </w:r>
            <w:r>
              <w:rPr>
                <w:rFonts w:hint="default" w:ascii="Times New Roman" w:hAnsi="Times New Roman" w:cs="Times New Roman"/>
                <w:bCs/>
                <w:iCs/>
                <w:szCs w:val="21"/>
              </w:rPr>
              <w:t xml:space="preserve"> 业绩说明会</w:t>
            </w:r>
          </w:p>
          <w:p w14:paraId="24FC0C96">
            <w:pPr>
              <w:spacing w:line="360" w:lineRule="auto"/>
              <w:rPr>
                <w:rFonts w:hint="default" w:ascii="Times New Roman" w:hAnsi="Times New Roman" w:cs="Times New Roman"/>
                <w:bCs/>
                <w:iCs/>
                <w:szCs w:val="21"/>
              </w:rPr>
            </w:pPr>
            <w:r>
              <w:rPr>
                <w:rFonts w:hint="default" w:ascii="Times New Roman" w:hAnsi="Times New Roman" w:cs="Times New Roman"/>
                <w:bCs/>
                <w:iCs/>
                <w:szCs w:val="21"/>
              </w:rPr>
              <w:t>□新闻发布会         □ 路演活动</w:t>
            </w:r>
          </w:p>
          <w:p w14:paraId="7D220E26">
            <w:pPr>
              <w:tabs>
                <w:tab w:val="left" w:pos="4023"/>
              </w:tabs>
              <w:spacing w:line="360" w:lineRule="auto"/>
              <w:rPr>
                <w:rFonts w:hint="default" w:ascii="Times New Roman" w:hAnsi="Times New Roman" w:cs="Times New Roman"/>
                <w:bCs/>
                <w:iCs/>
                <w:szCs w:val="21"/>
              </w:rPr>
            </w:pPr>
            <w:r>
              <w:rPr>
                <w:rFonts w:hint="default" w:ascii="Times New Roman" w:hAnsi="Times New Roman" w:cs="Times New Roman"/>
                <w:bCs/>
                <w:iCs/>
                <w:szCs w:val="21"/>
              </w:rPr>
              <w:t xml:space="preserve">□现场参观           </w:t>
            </w:r>
            <w:r>
              <w:rPr>
                <w:rFonts w:hint="default" w:ascii="Times New Roman" w:hAnsi="Times New Roman" w:cs="Times New Roman"/>
                <w:bCs/>
                <w:iCs/>
                <w:szCs w:val="21"/>
              </w:rPr>
              <w:sym w:font="Wingdings 2" w:char="00A3"/>
            </w:r>
            <w:r>
              <w:rPr>
                <w:rFonts w:hint="default" w:ascii="Times New Roman" w:hAnsi="Times New Roman" w:cs="Times New Roman"/>
                <w:bCs/>
                <w:iCs/>
                <w:szCs w:val="21"/>
              </w:rPr>
              <w:t xml:space="preserve"> 电话会议</w:t>
            </w:r>
          </w:p>
          <w:p w14:paraId="3408B83F">
            <w:pPr>
              <w:spacing w:line="360" w:lineRule="auto"/>
              <w:rPr>
                <w:rFonts w:hint="default" w:ascii="Times New Roman" w:hAnsi="Times New Roman" w:cs="Times New Roman"/>
                <w:bCs/>
                <w:iCs/>
                <w:szCs w:val="21"/>
              </w:rPr>
            </w:pPr>
            <w:r>
              <w:rPr>
                <w:rFonts w:hint="default" w:ascii="Times New Roman" w:hAnsi="Times New Roman" w:cs="Times New Roman"/>
                <w:bCs/>
                <w:iCs/>
                <w:szCs w:val="21"/>
                <w:lang w:eastAsia="zh-CN"/>
              </w:rPr>
              <w:t>□</w:t>
            </w:r>
            <w:r>
              <w:rPr>
                <w:rFonts w:hint="default" w:ascii="Times New Roman" w:hAnsi="Times New Roman" w:cs="Times New Roman"/>
                <w:bCs/>
                <w:iCs/>
                <w:szCs w:val="21"/>
              </w:rPr>
              <w:t>其他</w:t>
            </w:r>
          </w:p>
        </w:tc>
      </w:tr>
      <w:tr w14:paraId="19B3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CFEC3FE">
            <w:pPr>
              <w:spacing w:line="360" w:lineRule="auto"/>
              <w:jc w:val="center"/>
              <w:rPr>
                <w:rFonts w:hint="default" w:ascii="Times New Roman" w:hAnsi="Times New Roman" w:cs="Times New Roman"/>
                <w:b/>
                <w:bCs/>
                <w:iCs/>
                <w:szCs w:val="21"/>
              </w:rPr>
            </w:pPr>
            <w:r>
              <w:rPr>
                <w:rFonts w:hint="default" w:ascii="Times New Roman" w:hAnsi="Times New Roman" w:cs="Times New Roman"/>
                <w:b/>
                <w:bCs/>
                <w:iCs/>
                <w:szCs w:val="21"/>
              </w:rPr>
              <w:t>参与单位名称</w:t>
            </w:r>
          </w:p>
        </w:tc>
        <w:tc>
          <w:tcPr>
            <w:tcW w:w="6967" w:type="dxa"/>
          </w:tcPr>
          <w:p w14:paraId="3F7D54FF">
            <w:pPr>
              <w:spacing w:line="360" w:lineRule="auto"/>
              <w:rPr>
                <w:rFonts w:hint="default" w:ascii="Times New Roman" w:hAnsi="Times New Roman" w:cs="Times New Roman"/>
                <w:bCs/>
                <w:iCs/>
                <w:szCs w:val="21"/>
              </w:rPr>
            </w:pPr>
            <w:r>
              <w:rPr>
                <w:rFonts w:hint="default" w:ascii="Times New Roman" w:hAnsi="Times New Roman" w:cs="Times New Roman"/>
                <w:bCs/>
                <w:iCs/>
                <w:szCs w:val="21"/>
              </w:rPr>
              <w:t>参与了本次业绩说明会的线上投资者</w:t>
            </w:r>
          </w:p>
        </w:tc>
      </w:tr>
      <w:tr w14:paraId="71AA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11FC6BC">
            <w:pPr>
              <w:spacing w:line="360" w:lineRule="auto"/>
              <w:jc w:val="center"/>
              <w:rPr>
                <w:rFonts w:hint="default" w:ascii="Times New Roman" w:hAnsi="Times New Roman" w:cs="Times New Roman"/>
                <w:b/>
                <w:bCs/>
                <w:iCs/>
                <w:szCs w:val="21"/>
              </w:rPr>
            </w:pPr>
            <w:r>
              <w:rPr>
                <w:rFonts w:hint="default" w:ascii="Times New Roman" w:hAnsi="Times New Roman" w:cs="Times New Roman"/>
                <w:b/>
                <w:bCs/>
                <w:iCs/>
                <w:szCs w:val="21"/>
              </w:rPr>
              <w:t>时间</w:t>
            </w:r>
          </w:p>
        </w:tc>
        <w:tc>
          <w:tcPr>
            <w:tcW w:w="6967" w:type="dxa"/>
          </w:tcPr>
          <w:p w14:paraId="6C31491A">
            <w:pPr>
              <w:spacing w:line="360" w:lineRule="auto"/>
              <w:rPr>
                <w:rFonts w:hint="default" w:ascii="Times New Roman" w:hAnsi="Times New Roman" w:cs="Times New Roman"/>
                <w:bCs/>
                <w:iCs/>
                <w:sz w:val="21"/>
                <w:szCs w:val="21"/>
              </w:rPr>
            </w:pPr>
            <w:r>
              <w:rPr>
                <w:rFonts w:hint="default" w:ascii="Times New Roman" w:hAnsi="Times New Roman" w:cs="Times New Roman"/>
                <w:bCs/>
                <w:iCs/>
                <w:sz w:val="21"/>
                <w:szCs w:val="21"/>
              </w:rPr>
              <w:t>202</w:t>
            </w:r>
            <w:r>
              <w:rPr>
                <w:rFonts w:hint="default" w:ascii="Times New Roman" w:hAnsi="Times New Roman" w:cs="Times New Roman"/>
                <w:bCs/>
                <w:iCs/>
                <w:sz w:val="21"/>
                <w:szCs w:val="21"/>
                <w:lang w:val="en-US"/>
              </w:rPr>
              <w:t>5</w:t>
            </w:r>
            <w:r>
              <w:rPr>
                <w:rFonts w:hint="default" w:ascii="Times New Roman" w:hAnsi="Times New Roman" w:cs="Times New Roman"/>
                <w:bCs/>
                <w:iCs/>
                <w:sz w:val="21"/>
                <w:szCs w:val="21"/>
              </w:rPr>
              <w:t>年</w:t>
            </w:r>
            <w:r>
              <w:rPr>
                <w:rFonts w:hint="default" w:ascii="Times New Roman" w:hAnsi="Times New Roman" w:cs="Times New Roman"/>
                <w:bCs/>
                <w:iCs/>
                <w:sz w:val="21"/>
                <w:szCs w:val="21"/>
                <w:lang w:val="en-US" w:eastAsia="zh-CN"/>
              </w:rPr>
              <w:t>11</w:t>
            </w:r>
            <w:r>
              <w:rPr>
                <w:rFonts w:hint="default" w:ascii="Times New Roman" w:hAnsi="Times New Roman" w:cs="Times New Roman"/>
                <w:bCs/>
                <w:iCs/>
                <w:sz w:val="21"/>
                <w:szCs w:val="21"/>
              </w:rPr>
              <w:t>月</w:t>
            </w:r>
          </w:p>
        </w:tc>
      </w:tr>
      <w:tr w14:paraId="2140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F57B9C4">
            <w:pPr>
              <w:spacing w:line="360" w:lineRule="auto"/>
              <w:jc w:val="center"/>
              <w:rPr>
                <w:rFonts w:hint="default" w:ascii="Times New Roman" w:hAnsi="Times New Roman" w:cs="Times New Roman"/>
                <w:b/>
                <w:bCs/>
                <w:iCs/>
                <w:szCs w:val="21"/>
              </w:rPr>
            </w:pPr>
            <w:r>
              <w:rPr>
                <w:rFonts w:hint="default" w:ascii="Times New Roman" w:hAnsi="Times New Roman" w:cs="Times New Roman"/>
                <w:b/>
                <w:bCs/>
                <w:iCs/>
                <w:szCs w:val="21"/>
              </w:rPr>
              <w:t>会议召开地点</w:t>
            </w:r>
          </w:p>
        </w:tc>
        <w:tc>
          <w:tcPr>
            <w:tcW w:w="6967" w:type="dxa"/>
          </w:tcPr>
          <w:p w14:paraId="7796299B">
            <w:pPr>
              <w:spacing w:line="360" w:lineRule="auto"/>
              <w:rPr>
                <w:rFonts w:hint="default" w:ascii="Times New Roman" w:hAnsi="Times New Roman" w:cs="Times New Roman"/>
                <w:bCs/>
                <w:iCs/>
                <w:sz w:val="21"/>
                <w:szCs w:val="21"/>
              </w:rPr>
            </w:pPr>
            <w:r>
              <w:rPr>
                <w:rFonts w:hint="default" w:ascii="Times New Roman" w:hAnsi="Times New Roman" w:cs="Times New Roman"/>
              </w:rPr>
              <w:t>价值在线（www.ir-online.cn）</w:t>
            </w:r>
          </w:p>
        </w:tc>
      </w:tr>
      <w:tr w14:paraId="406D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55" w:type="dxa"/>
            <w:vAlign w:val="center"/>
          </w:tcPr>
          <w:p w14:paraId="0A5AF6C1">
            <w:pPr>
              <w:spacing w:line="360" w:lineRule="auto"/>
              <w:jc w:val="center"/>
              <w:rPr>
                <w:rFonts w:hint="default" w:ascii="Times New Roman" w:hAnsi="Times New Roman" w:cs="Times New Roman"/>
                <w:b/>
                <w:bCs/>
                <w:iCs/>
                <w:szCs w:val="21"/>
              </w:rPr>
            </w:pPr>
            <w:r>
              <w:rPr>
                <w:rFonts w:hint="default" w:ascii="Times New Roman" w:hAnsi="Times New Roman" w:cs="Times New Roman"/>
                <w:b/>
                <w:bCs/>
                <w:iCs/>
                <w:szCs w:val="21"/>
              </w:rPr>
              <w:t>公司接待人员姓名、职务</w:t>
            </w:r>
          </w:p>
        </w:tc>
        <w:tc>
          <w:tcPr>
            <w:tcW w:w="6967" w:type="dxa"/>
            <w:vAlign w:val="center"/>
          </w:tcPr>
          <w:p w14:paraId="6BD59E92">
            <w:pPr>
              <w:spacing w:line="360" w:lineRule="auto"/>
              <w:rPr>
                <w:rFonts w:hint="default" w:ascii="Times New Roman" w:hAnsi="Times New Roman" w:cs="Times New Roman"/>
                <w:bCs/>
                <w:iCs/>
                <w:szCs w:val="21"/>
              </w:rPr>
            </w:pPr>
            <w:r>
              <w:rPr>
                <w:rFonts w:hint="default" w:ascii="Times New Roman" w:hAnsi="Times New Roman" w:cs="Times New Roman"/>
                <w:bCs/>
                <w:iCs/>
                <w:szCs w:val="21"/>
              </w:rPr>
              <w:t>龙进军：董事长、总经理</w:t>
            </w:r>
          </w:p>
          <w:p w14:paraId="49AFA057">
            <w:pPr>
              <w:spacing w:line="360" w:lineRule="auto"/>
              <w:rPr>
                <w:rFonts w:hint="default" w:ascii="Times New Roman" w:hAnsi="Times New Roman" w:cs="Times New Roman"/>
                <w:bCs/>
                <w:iCs/>
                <w:szCs w:val="21"/>
              </w:rPr>
            </w:pPr>
            <w:r>
              <w:rPr>
                <w:rFonts w:hint="default" w:ascii="Times New Roman" w:hAnsi="Times New Roman" w:cs="Times New Roman"/>
                <w:bCs/>
                <w:iCs/>
                <w:szCs w:val="21"/>
              </w:rPr>
              <w:t>陈吉龙：董事、财务总监、董事会秘书</w:t>
            </w:r>
          </w:p>
          <w:p w14:paraId="59DD1987">
            <w:pPr>
              <w:spacing w:line="360" w:lineRule="auto"/>
              <w:rPr>
                <w:rFonts w:hint="default" w:ascii="Times New Roman" w:hAnsi="Times New Roman" w:cs="Times New Roman"/>
                <w:bCs/>
                <w:iCs/>
                <w:szCs w:val="21"/>
              </w:rPr>
            </w:pPr>
            <w:r>
              <w:rPr>
                <w:rFonts w:hint="default" w:ascii="Times New Roman" w:hAnsi="Times New Roman" w:cs="Times New Roman"/>
                <w:bCs/>
                <w:iCs/>
                <w:szCs w:val="21"/>
              </w:rPr>
              <w:t>常璟：独立董事</w:t>
            </w:r>
          </w:p>
        </w:tc>
      </w:tr>
      <w:tr w14:paraId="0C6B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3678D42">
            <w:pPr>
              <w:spacing w:line="360" w:lineRule="auto"/>
              <w:jc w:val="center"/>
              <w:rPr>
                <w:rFonts w:hint="default" w:ascii="Times New Roman" w:hAnsi="Times New Roman" w:cs="Times New Roman"/>
                <w:b/>
                <w:bCs/>
                <w:iCs/>
                <w:szCs w:val="21"/>
              </w:rPr>
            </w:pPr>
            <w:r>
              <w:rPr>
                <w:rFonts w:hint="default" w:ascii="Times New Roman" w:hAnsi="Times New Roman" w:cs="Times New Roman"/>
                <w:b/>
                <w:bCs/>
                <w:iCs/>
                <w:szCs w:val="21"/>
              </w:rPr>
              <w:t>投资者关系活动主要内容</w:t>
            </w:r>
          </w:p>
        </w:tc>
        <w:tc>
          <w:tcPr>
            <w:tcW w:w="6967" w:type="dxa"/>
          </w:tcPr>
          <w:p w14:paraId="31DF3BC7">
            <w:pPr>
              <w:pStyle w:val="12"/>
              <w:spacing w:before="156" w:after="156"/>
              <w:ind w:firstLine="384" w:firstLineChars="183"/>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公司于202</w:t>
            </w:r>
            <w:r>
              <w:rPr>
                <w:rFonts w:hint="default" w:ascii="Times New Roman" w:hAnsi="Times New Roman" w:cs="Times New Roman"/>
                <w:b w:val="0"/>
                <w:bCs w:val="0"/>
                <w:sz w:val="21"/>
                <w:szCs w:val="21"/>
                <w:lang w:val="en-US"/>
              </w:rPr>
              <w:t>5</w:t>
            </w:r>
            <w:r>
              <w:rPr>
                <w:rFonts w:hint="default" w:ascii="Times New Roman" w:hAnsi="Times New Roman" w:cs="Times New Roman"/>
                <w:b w:val="0"/>
                <w:bCs w:val="0"/>
                <w:sz w:val="21"/>
                <w:szCs w:val="21"/>
              </w:rPr>
              <w:t>年</w:t>
            </w:r>
            <w:r>
              <w:rPr>
                <w:rFonts w:hint="default" w:ascii="Times New Roman" w:hAnsi="Times New Roman" w:cs="Times New Roman"/>
                <w:b w:val="0"/>
                <w:bCs w:val="0"/>
                <w:sz w:val="21"/>
                <w:szCs w:val="21"/>
                <w:lang w:val="en-US" w:eastAsia="zh-CN"/>
              </w:rPr>
              <w:t>11</w:t>
            </w:r>
            <w:r>
              <w:rPr>
                <w:rFonts w:hint="default" w:ascii="Times New Roman" w:hAnsi="Times New Roman" w:cs="Times New Roman"/>
                <w:b w:val="0"/>
                <w:bCs w:val="0"/>
                <w:sz w:val="21"/>
                <w:szCs w:val="21"/>
              </w:rPr>
              <w:t>月</w:t>
            </w:r>
            <w:r>
              <w:rPr>
                <w:rFonts w:hint="default" w:ascii="Times New Roman" w:hAnsi="Times New Roman" w:cs="Times New Roman"/>
                <w:b w:val="0"/>
                <w:bCs w:val="0"/>
                <w:sz w:val="21"/>
                <w:szCs w:val="21"/>
                <w:lang w:val="en-US" w:eastAsia="zh-CN"/>
              </w:rPr>
              <w:t>28</w:t>
            </w:r>
            <w:r>
              <w:rPr>
                <w:rFonts w:hint="default" w:ascii="Times New Roman" w:hAnsi="Times New Roman" w:cs="Times New Roman"/>
                <w:b w:val="0"/>
                <w:bCs w:val="0"/>
                <w:sz w:val="21"/>
                <w:szCs w:val="21"/>
              </w:rPr>
              <w:t>日</w:t>
            </w:r>
            <w:bookmarkStart w:id="0" w:name="_GoBack"/>
            <w:bookmarkEnd w:id="0"/>
            <w:r>
              <w:rPr>
                <w:rFonts w:hint="default" w:ascii="Times New Roman" w:hAnsi="Times New Roman" w:cs="Times New Roman"/>
                <w:b w:val="0"/>
                <w:bCs w:val="0"/>
                <w:sz w:val="21"/>
                <w:szCs w:val="21"/>
              </w:rPr>
              <w:t>通过网络互动方式，召开了202</w:t>
            </w:r>
            <w:r>
              <w:rPr>
                <w:rFonts w:hint="default" w:ascii="Times New Roman" w:hAnsi="Times New Roman" w:cs="Times New Roman"/>
                <w:b w:val="0"/>
                <w:bCs w:val="0"/>
                <w:sz w:val="21"/>
                <w:szCs w:val="21"/>
                <w:lang w:val="en-US" w:eastAsia="zh-CN"/>
              </w:rPr>
              <w:t>5</w:t>
            </w:r>
            <w:r>
              <w:rPr>
                <w:rFonts w:hint="default" w:ascii="Times New Roman" w:hAnsi="Times New Roman" w:cs="Times New Roman"/>
                <w:b w:val="0"/>
                <w:bCs w:val="0"/>
                <w:sz w:val="21"/>
                <w:szCs w:val="21"/>
              </w:rPr>
              <w:t>年</w:t>
            </w:r>
            <w:r>
              <w:rPr>
                <w:rFonts w:hint="default" w:ascii="Times New Roman" w:hAnsi="Times New Roman" w:cs="Times New Roman"/>
                <w:b w:val="0"/>
                <w:bCs w:val="0"/>
                <w:sz w:val="21"/>
                <w:szCs w:val="21"/>
                <w:lang w:val="en-US" w:eastAsia="zh-CN"/>
              </w:rPr>
              <w:t>第三季</w:t>
            </w:r>
            <w:r>
              <w:rPr>
                <w:rFonts w:hint="default" w:ascii="Times New Roman" w:hAnsi="Times New Roman" w:cs="Times New Roman"/>
                <w:b w:val="0"/>
                <w:bCs w:val="0"/>
                <w:sz w:val="21"/>
                <w:szCs w:val="21"/>
              </w:rPr>
              <w:t>度业绩说明</w:t>
            </w:r>
            <w:r>
              <w:rPr>
                <w:rFonts w:hint="default" w:ascii="Times New Roman" w:hAnsi="Times New Roman" w:cs="Times New Roman"/>
                <w:b w:val="0"/>
                <w:bCs w:val="0"/>
                <w:sz w:val="21"/>
                <w:szCs w:val="21"/>
                <w:lang w:val="en-US" w:eastAsia="zh-CN"/>
              </w:rPr>
              <w:t>会</w:t>
            </w:r>
            <w:r>
              <w:rPr>
                <w:rFonts w:hint="default" w:ascii="Times New Roman" w:hAnsi="Times New Roman" w:cs="Times New Roman"/>
                <w:b w:val="0"/>
                <w:bCs w:val="0"/>
                <w:sz w:val="21"/>
                <w:szCs w:val="21"/>
              </w:rPr>
              <w:t>，就投资者关注的问题在信息披露允许的范围内进行了回答。具体交流情况如下：</w:t>
            </w:r>
          </w:p>
          <w:p w14:paraId="5B4B15EC">
            <w:pPr>
              <w:pStyle w:val="12"/>
              <w:keepNext w:val="0"/>
              <w:keepLines w:val="0"/>
              <w:pageBreakBefore w:val="0"/>
              <w:widowControl w:val="0"/>
              <w:kinsoku/>
              <w:wordWrap/>
              <w:overflowPunct/>
              <w:topLinePunct w:val="0"/>
              <w:autoSpaceDE/>
              <w:autoSpaceDN/>
              <w:bidi w:val="0"/>
              <w:adjustRightInd/>
              <w:snapToGrid/>
              <w:spacing w:before="0" w:beforeLines="0" w:after="0" w:afterLines="0"/>
              <w:ind w:firstLine="367" w:firstLineChars="183"/>
              <w:textAlignment w:val="auto"/>
              <w:rPr>
                <w:rFonts w:hint="default" w:ascii="Times New Roman" w:hAnsi="Times New Roman" w:eastAsia="宋体" w:cs="Times New Roman"/>
                <w:b/>
                <w:sz w:val="20"/>
              </w:rPr>
            </w:pPr>
            <w:r>
              <w:rPr>
                <w:rFonts w:hint="default" w:ascii="Times New Roman" w:hAnsi="Times New Roman" w:eastAsia="宋体" w:cs="Times New Roman"/>
                <w:b/>
                <w:sz w:val="20"/>
              </w:rPr>
              <w:t>问题1</w:t>
            </w:r>
            <w:r>
              <w:rPr>
                <w:rFonts w:hint="eastAsia" w:cs="Times New Roman"/>
                <w:b/>
                <w:sz w:val="20"/>
                <w:lang w:eastAsia="zh-CN"/>
              </w:rPr>
              <w:t>：</w:t>
            </w:r>
            <w:r>
              <w:rPr>
                <w:rFonts w:hint="default" w:ascii="Times New Roman" w:hAnsi="Times New Roman" w:eastAsia="宋体" w:cs="Times New Roman"/>
                <w:b/>
                <w:sz w:val="20"/>
              </w:rPr>
              <w:t>贵司制定了股权激励，激励达成跟24、25、26年的营业额关联。请问一下这3年的营业额目标是基于哪些因素考虑的，有哪些关键数据支撑？24年没有达成的主观、客观原因是什么呢？25年做了哪些保障措施来保证目标的达成。</w:t>
            </w:r>
          </w:p>
          <w:p w14:paraId="01C4F529">
            <w:pPr>
              <w:pStyle w:val="12"/>
              <w:keepNext w:val="0"/>
              <w:keepLines w:val="0"/>
              <w:pageBreakBefore w:val="0"/>
              <w:widowControl w:val="0"/>
              <w:kinsoku/>
              <w:wordWrap/>
              <w:overflowPunct/>
              <w:topLinePunct w:val="0"/>
              <w:autoSpaceDE/>
              <w:autoSpaceDN/>
              <w:bidi w:val="0"/>
              <w:adjustRightInd/>
              <w:snapToGrid/>
              <w:spacing w:before="0" w:beforeLines="0" w:after="0" w:afterLines="0"/>
              <w:ind w:firstLine="366" w:firstLineChars="183"/>
              <w:textAlignment w:val="auto"/>
              <w:rPr>
                <w:rFonts w:hint="default" w:ascii="Times New Roman" w:hAnsi="Times New Roman" w:eastAsia="宋体" w:cs="Times New Roman"/>
                <w:b w:val="0"/>
                <w:sz w:val="20"/>
              </w:rPr>
            </w:pPr>
            <w:r>
              <w:rPr>
                <w:rFonts w:hint="default" w:ascii="Times New Roman" w:hAnsi="Times New Roman" w:eastAsia="宋体" w:cs="Times New Roman"/>
                <w:b w:val="0"/>
                <w:sz w:val="20"/>
              </w:rPr>
              <w:t xml:space="preserve"> 答</w:t>
            </w:r>
            <w:r>
              <w:rPr>
                <w:rFonts w:hint="eastAsia" w:cs="Times New Roman"/>
                <w:b w:val="0"/>
                <w:sz w:val="20"/>
                <w:lang w:val="en-US" w:eastAsia="zh-CN"/>
              </w:rPr>
              <w:t>复：</w:t>
            </w:r>
            <w:r>
              <w:rPr>
                <w:rFonts w:hint="default" w:ascii="Times New Roman" w:hAnsi="Times New Roman" w:eastAsia="宋体" w:cs="Times New Roman"/>
                <w:b w:val="0"/>
                <w:sz w:val="20"/>
              </w:rPr>
              <w:t>尊敬的投资者您好，公司2024年限制性股票激励计划中设定的2024年至2026年营业收入考核目标，是综合考量了公司历史经营业绩、行业发展趋势、市场竞争格局、宏观经济环境以及公司中长期战略规划等多方面因素，并结合公司各业务板块增长潜力、重点客户拓展计划及新产品投放节奏等关键数据测算后审慎制定的。</w:t>
            </w:r>
          </w:p>
          <w:p w14:paraId="682B9BDE">
            <w:pPr>
              <w:pStyle w:val="12"/>
              <w:keepNext w:val="0"/>
              <w:keepLines w:val="0"/>
              <w:pageBreakBefore w:val="0"/>
              <w:widowControl w:val="0"/>
              <w:kinsoku/>
              <w:wordWrap/>
              <w:overflowPunct/>
              <w:topLinePunct w:val="0"/>
              <w:autoSpaceDE/>
              <w:autoSpaceDN/>
              <w:bidi w:val="0"/>
              <w:adjustRightInd/>
              <w:snapToGrid/>
              <w:spacing w:before="0" w:beforeLines="0" w:after="0" w:afterLines="0"/>
              <w:ind w:firstLine="366" w:firstLineChars="183"/>
              <w:textAlignment w:val="auto"/>
              <w:rPr>
                <w:rFonts w:hint="default" w:ascii="Times New Roman" w:hAnsi="Times New Roman" w:eastAsia="宋体" w:cs="Times New Roman"/>
                <w:b w:val="0"/>
                <w:sz w:val="20"/>
              </w:rPr>
            </w:pPr>
            <w:r>
              <w:rPr>
                <w:rFonts w:hint="default" w:ascii="Times New Roman" w:hAnsi="Times New Roman" w:eastAsia="宋体" w:cs="Times New Roman"/>
                <w:b w:val="0"/>
                <w:sz w:val="20"/>
              </w:rPr>
              <w:t>2024年公司营收未达到股权激励目标的原因主要有：客观上，受2023年宏观经济环境影响，部分下游行业投资节奏放缓、市场竞争加剧带来了短期压力；主观上，2024年公司以提升长期竞争力为导向，战略性调整签单结构，主动减少低附加值项目承接，转而聚焦高价值、大规模项目，着重提升单个项目的签单规模、订单质量与盈利水平，为实现可持续高质量发展夯实基础，尽管公司整体签单规模有所缩小，但通过优化收入结构和拓展海外市场，签单的整体结构和质量得到了显著提升；虽然未达激励目标，但公司2024年营收同比仍增长21.41%，亏损持续收窄。
</w:t>
            </w:r>
          </w:p>
          <w:p w14:paraId="5ED00FB8">
            <w:pPr>
              <w:pStyle w:val="12"/>
              <w:keepNext w:val="0"/>
              <w:keepLines w:val="0"/>
              <w:pageBreakBefore w:val="0"/>
              <w:widowControl w:val="0"/>
              <w:kinsoku/>
              <w:wordWrap/>
              <w:overflowPunct/>
              <w:topLinePunct w:val="0"/>
              <w:autoSpaceDE/>
              <w:autoSpaceDN/>
              <w:bidi w:val="0"/>
              <w:adjustRightInd/>
              <w:snapToGrid/>
              <w:spacing w:before="156" w:after="156"/>
              <w:ind w:firstLine="366" w:firstLineChars="183"/>
              <w:textAlignment w:val="auto"/>
              <w:rPr>
                <w:rFonts w:hint="default" w:ascii="Times New Roman" w:hAnsi="Times New Roman" w:cs="Times New Roman"/>
                <w:b w:val="0"/>
                <w:bCs w:val="0"/>
                <w:sz w:val="21"/>
                <w:szCs w:val="21"/>
              </w:rPr>
            </w:pPr>
            <w:r>
              <w:rPr>
                <w:rFonts w:hint="default" w:ascii="Times New Roman" w:hAnsi="Times New Roman" w:eastAsia="宋体" w:cs="Times New Roman"/>
                <w:b w:val="0"/>
                <w:sz w:val="20"/>
              </w:rPr>
              <w:t>2025年，公司将持续深耕智能物流、智能制造与新能源三大核心业务板块，深度聚焦重点行业头部客户，大力开拓国内和海外市场，围绕产品技术迭代升级、供应链精益化管理、数字化生态体系建设等关键领域持续发力，实现业务发展与战略布局的双重突破。截至三季度末，公司在手订单为42.91亿元，同比增长70.34%，其中：海外在手订单20.71亿元，同比增长73.81%；智能物流在手订单24.88亿元，同比增长122.42%。作为公司业务占比较高的板块，智能物流业务的客户主要集中于快递物流及电商新零售行业，相关项目的交付与验收多集中于“618”“双十一”“双十二”“黑色星期五”等业务高峰期间，导致智能物流板块的收入确认呈现季节性特征（多集中在第四季度，第二季度次之），预计第四季度公司将迎来项目验收及收入确认的高峰。再次感谢您对公司的关注</w:t>
            </w:r>
            <w:r>
              <w:rPr>
                <w:rFonts w:hint="default" w:ascii="Times New Roman" w:hAnsi="Times New Roman" w:cs="Times New Roman"/>
                <w:b w:val="0"/>
                <w:bCs w:val="0"/>
                <w:sz w:val="21"/>
                <w:szCs w:val="21"/>
              </w:rPr>
              <w:t>与支持。</w:t>
            </w:r>
          </w:p>
          <w:p w14:paraId="57331357">
            <w:pPr>
              <w:pStyle w:val="12"/>
              <w:keepNext w:val="0"/>
              <w:keepLines w:val="0"/>
              <w:pageBreakBefore w:val="0"/>
              <w:widowControl w:val="0"/>
              <w:kinsoku/>
              <w:wordWrap/>
              <w:overflowPunct/>
              <w:topLinePunct w:val="0"/>
              <w:autoSpaceDE/>
              <w:autoSpaceDN/>
              <w:bidi w:val="0"/>
              <w:adjustRightInd/>
              <w:snapToGrid/>
              <w:spacing w:before="156" w:after="156"/>
              <w:ind w:firstLine="386" w:firstLineChars="183"/>
              <w:textAlignment w:val="auto"/>
              <w:rPr>
                <w:rFonts w:hint="default" w:ascii="Times New Roman" w:hAnsi="Times New Roman" w:eastAsia="宋体" w:cs="Times New Roman"/>
                <w:b w:val="0"/>
                <w:sz w:val="20"/>
              </w:rPr>
            </w:pPr>
            <w:r>
              <w:rPr>
                <w:rFonts w:hint="eastAsia" w:ascii="Times New Roman" w:hAnsi="Times New Roman" w:cs="Times New Roman"/>
                <w:b/>
                <w:bCs/>
                <w:sz w:val="21"/>
                <w:szCs w:val="21"/>
                <w:lang w:val="en-US" w:eastAsia="zh-CN"/>
              </w:rPr>
              <w:t>问题2：</w:t>
            </w:r>
            <w:r>
              <w:rPr>
                <w:rFonts w:hint="default" w:ascii="Times New Roman" w:hAnsi="Times New Roman" w:eastAsia="宋体" w:cs="Times New Roman"/>
                <w:b/>
                <w:bCs/>
                <w:sz w:val="20"/>
              </w:rPr>
              <w:t>建</w:t>
            </w:r>
            <w:r>
              <w:rPr>
                <w:rFonts w:hint="default" w:ascii="Times New Roman" w:hAnsi="Times New Roman" w:eastAsia="宋体" w:cs="Times New Roman"/>
                <w:b/>
                <w:sz w:val="20"/>
              </w:rPr>
              <w:t>议贵司参考别的同行公司主动报告新签订单情况，做好主业同时及时回复投资者关切(如i董秘提问问题及时回复)，预祝早早扭亏，给予长期关注的投资者奖励</w:t>
            </w:r>
            <w:r>
              <w:rPr>
                <w:rFonts w:hint="eastAsia" w:cs="Times New Roman"/>
                <w:b/>
                <w:sz w:val="20"/>
                <w:lang w:eastAsia="zh-CN"/>
              </w:rPr>
              <w:t>。</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cs="Times New Roman"/>
                <w:b w:val="0"/>
                <w:sz w:val="20"/>
                <w:lang w:val="en-US" w:eastAsia="zh-CN"/>
              </w:rPr>
              <w:t>复：</w:t>
            </w:r>
            <w:r>
              <w:rPr>
                <w:rFonts w:hint="default" w:ascii="Times New Roman" w:hAnsi="Times New Roman" w:eastAsia="宋体" w:cs="Times New Roman"/>
                <w:b w:val="0"/>
                <w:sz w:val="20"/>
              </w:rPr>
              <w:t>尊敬的投资者您好，非常感谢您对公司的建议和支持，公司将不断提升治理水平与信息披露质量，与投资者携手共赢，共同见证公司成长！</w:t>
            </w:r>
          </w:p>
          <w:p w14:paraId="00FC9815">
            <w:pPr>
              <w:pStyle w:val="12"/>
              <w:keepNext w:val="0"/>
              <w:keepLines w:val="0"/>
              <w:pageBreakBefore w:val="0"/>
              <w:widowControl w:val="0"/>
              <w:kinsoku/>
              <w:wordWrap/>
              <w:overflowPunct/>
              <w:topLinePunct w:val="0"/>
              <w:autoSpaceDE/>
              <w:autoSpaceDN/>
              <w:bidi w:val="0"/>
              <w:adjustRightInd/>
              <w:snapToGrid/>
              <w:spacing w:before="156" w:after="156"/>
              <w:ind w:firstLine="367" w:firstLineChars="183"/>
              <w:textAlignment w:val="auto"/>
              <w:rPr>
                <w:rFonts w:hint="default" w:ascii="Times New Roman" w:hAnsi="Times New Roman" w:eastAsia="宋体" w:cs="Times New Roman"/>
                <w:b w:val="0"/>
                <w:sz w:val="20"/>
              </w:rPr>
            </w:pPr>
            <w:r>
              <w:rPr>
                <w:rFonts w:hint="eastAsia" w:cs="Times New Roman"/>
                <w:b/>
                <w:sz w:val="20"/>
                <w:lang w:val="en-US" w:eastAsia="zh-CN"/>
              </w:rPr>
              <w:t>问题3：</w:t>
            </w:r>
            <w:r>
              <w:rPr>
                <w:rFonts w:hint="default" w:ascii="Times New Roman" w:hAnsi="Times New Roman" w:eastAsia="宋体" w:cs="Times New Roman"/>
                <w:b/>
                <w:sz w:val="20"/>
              </w:rPr>
              <w:t>科捷智能的龙门机器人的科捷智能自研的还是关联企业蚂蚁机器人公司研究的？ 除此之外还有哪些机器人？科捷智能的研发方向和蚂蚁机器人是否会有重合？</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cs="Times New Roman"/>
                <w:b w:val="0"/>
                <w:sz w:val="20"/>
                <w:lang w:val="en-US" w:eastAsia="zh-CN"/>
              </w:rPr>
              <w:t>复：</w:t>
            </w:r>
            <w:r>
              <w:rPr>
                <w:rFonts w:hint="default" w:ascii="Times New Roman" w:hAnsi="Times New Roman" w:eastAsia="宋体" w:cs="Times New Roman"/>
                <w:b w:val="0"/>
                <w:sz w:val="20"/>
              </w:rPr>
              <w:t>尊敬的投资者您好！龙门机器人是科捷智能自主研发的核心产品，拥有独立自主的知识产权，此外公司还自主研发了堆垛机、多层穿梭车、托盘四向车、EMS 及 RGV 机器人、交叉带分拣机等一系列智能物流与智能制造装备，构建了覆盖仓储、分拣、搬运等全场景的软硬件一体化产品矩阵，相关详情请您查阅公司定期报告中“报告期内公司所从事的主要业务、经营模式、行业情况及研发情况说明-主要业务、主要产品或服务情况-核心设备及软件产品”的相关内容。</w:t>
            </w:r>
          </w:p>
          <w:p w14:paraId="4D49E1C4">
            <w:pPr>
              <w:pStyle w:val="12"/>
              <w:keepNext w:val="0"/>
              <w:keepLines w:val="0"/>
              <w:pageBreakBefore w:val="0"/>
              <w:widowControl w:val="0"/>
              <w:kinsoku/>
              <w:wordWrap/>
              <w:overflowPunct/>
              <w:topLinePunct w:val="0"/>
              <w:autoSpaceDE/>
              <w:autoSpaceDN/>
              <w:bidi w:val="0"/>
              <w:adjustRightInd/>
              <w:snapToGrid/>
              <w:spacing w:before="156" w:after="156"/>
              <w:ind w:firstLine="366" w:firstLineChars="183"/>
              <w:textAlignment w:val="auto"/>
              <w:rPr>
                <w:rFonts w:hint="default" w:ascii="Times New Roman" w:hAnsi="Times New Roman" w:eastAsia="宋体" w:cs="Times New Roman"/>
                <w:b w:val="0"/>
                <w:sz w:val="20"/>
              </w:rPr>
            </w:pPr>
            <w:r>
              <w:rPr>
                <w:rFonts w:hint="default" w:ascii="Times New Roman" w:hAnsi="Times New Roman" w:eastAsia="宋体" w:cs="Times New Roman"/>
                <w:b w:val="0"/>
                <w:sz w:val="20"/>
              </w:rPr>
              <w:t>科捷智能与蚂蚁机器人作为独立运营的关联企业，双方研发方向和产品布局定位清晰、各有侧重，公司专注于智能物流与智能制造系统整体解决方案的研发创新，蚂蚁机器人则聚焦移动机器人及混场调度领域，不存在研发重合或同业竞争情况，感谢您对公司的关注。</w:t>
            </w:r>
          </w:p>
          <w:p w14:paraId="7787E762">
            <w:pPr>
              <w:pStyle w:val="12"/>
              <w:keepNext w:val="0"/>
              <w:keepLines w:val="0"/>
              <w:pageBreakBefore w:val="0"/>
              <w:widowControl w:val="0"/>
              <w:kinsoku/>
              <w:wordWrap/>
              <w:overflowPunct/>
              <w:topLinePunct w:val="0"/>
              <w:autoSpaceDE/>
              <w:autoSpaceDN/>
              <w:bidi w:val="0"/>
              <w:adjustRightInd/>
              <w:snapToGrid/>
              <w:spacing w:before="156" w:after="156"/>
              <w:ind w:firstLine="367" w:firstLineChars="183"/>
              <w:textAlignment w:val="auto"/>
              <w:rPr>
                <w:rFonts w:hint="default" w:ascii="Times New Roman" w:hAnsi="Times New Roman" w:eastAsia="宋体" w:cs="Times New Roman"/>
                <w:b w:val="0"/>
                <w:sz w:val="20"/>
              </w:rPr>
            </w:pPr>
            <w:r>
              <w:rPr>
                <w:rFonts w:hint="eastAsia" w:cs="Times New Roman"/>
                <w:b/>
                <w:sz w:val="20"/>
                <w:lang w:val="en-US" w:eastAsia="zh-CN"/>
              </w:rPr>
              <w:t>问题4：</w:t>
            </w:r>
            <w:r>
              <w:rPr>
                <w:rFonts w:hint="default" w:ascii="Times New Roman" w:hAnsi="Times New Roman" w:eastAsia="宋体" w:cs="Times New Roman"/>
                <w:b/>
                <w:sz w:val="20"/>
              </w:rPr>
              <w:t>贵司25年新签订单金额同比有较高增长，请问一下该高速增长的主客观因素是什么？ 展望未来3年，该高速增长趋势是否能持续？</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cs="Times New Roman"/>
                <w:b w:val="0"/>
                <w:sz w:val="20"/>
                <w:lang w:val="en-US" w:eastAsia="zh-CN"/>
              </w:rPr>
              <w:t>复：</w:t>
            </w:r>
            <w:r>
              <w:rPr>
                <w:rFonts w:hint="default" w:ascii="Times New Roman" w:hAnsi="Times New Roman" w:eastAsia="宋体" w:cs="Times New Roman"/>
                <w:b w:val="0"/>
                <w:sz w:val="20"/>
              </w:rPr>
              <w:t>尊敬的投资者您好，感谢您对公司的关注，公司2025年新签订单实现高速增长，是主观战略深耕和客观市场机遇共振的结果，主要原因如下：</w:t>
            </w:r>
          </w:p>
          <w:p w14:paraId="399C27CC">
            <w:pPr>
              <w:pStyle w:val="12"/>
              <w:keepNext w:val="0"/>
              <w:keepLines w:val="0"/>
              <w:pageBreakBefore w:val="0"/>
              <w:widowControl w:val="0"/>
              <w:kinsoku/>
              <w:wordWrap/>
              <w:overflowPunct/>
              <w:topLinePunct w:val="0"/>
              <w:autoSpaceDE/>
              <w:autoSpaceDN/>
              <w:bidi w:val="0"/>
              <w:adjustRightInd/>
              <w:snapToGrid/>
              <w:spacing w:before="156" w:after="156"/>
              <w:ind w:firstLine="366" w:firstLineChars="183"/>
              <w:textAlignment w:val="auto"/>
              <w:rPr>
                <w:rFonts w:hint="default" w:ascii="Times New Roman" w:hAnsi="Times New Roman" w:eastAsia="宋体" w:cs="Times New Roman"/>
                <w:b w:val="0"/>
                <w:sz w:val="20"/>
              </w:rPr>
            </w:pPr>
            <w:r>
              <w:rPr>
                <w:rFonts w:hint="default" w:ascii="Times New Roman" w:hAnsi="Times New Roman" w:eastAsia="宋体" w:cs="Times New Roman"/>
                <w:b w:val="0"/>
                <w:sz w:val="20"/>
              </w:rPr>
              <w:t>
1、在智能物流领域，公司充分发挥端到端全场景解决方案、产品技术研发及系统集成核心优势，严格落实年度智能物流发展战略，推动国内外业务协同发展：在国内业务方面，公司深耕物流电商行业，持续服务战略客户，巩固头部客户核心供应商地位，并深化与重点客户的供应链协同。在海外业务方面，智能物流签单量同比实现强劲增长，并取得区域性市场突破，首次成功在波兰、阿联酋、英国、新加坡等市场拓展项目。</w:t>
            </w:r>
          </w:p>
          <w:p w14:paraId="51956D43">
            <w:pPr>
              <w:pStyle w:val="12"/>
              <w:keepNext w:val="0"/>
              <w:keepLines w:val="0"/>
              <w:pageBreakBefore w:val="0"/>
              <w:widowControl w:val="0"/>
              <w:kinsoku/>
              <w:wordWrap/>
              <w:overflowPunct/>
              <w:topLinePunct w:val="0"/>
              <w:autoSpaceDE/>
              <w:autoSpaceDN/>
              <w:bidi w:val="0"/>
              <w:adjustRightInd/>
              <w:snapToGrid/>
              <w:spacing w:before="156" w:after="156"/>
              <w:ind w:firstLine="366" w:firstLineChars="183"/>
              <w:textAlignment w:val="auto"/>
              <w:rPr>
                <w:rFonts w:hint="default" w:ascii="Times New Roman" w:hAnsi="Times New Roman" w:eastAsia="宋体" w:cs="Times New Roman"/>
                <w:b w:val="0"/>
                <w:sz w:val="20"/>
              </w:rPr>
            </w:pPr>
            <w:r>
              <w:rPr>
                <w:rFonts w:hint="default" w:ascii="Times New Roman" w:hAnsi="Times New Roman" w:eastAsia="宋体" w:cs="Times New Roman"/>
                <w:b w:val="0"/>
                <w:sz w:val="20"/>
              </w:rPr>
              <w:t>
2、在智能工厂领域，公司重点围绕轮胎、大汽车等行业，充分发挥差异化解决方案、自主研发能力与全链条服务优势，成功签约包括宏盛科技、正道轮胎、中磊电子等多个标杆项目。与此同时，公司积极拓展大汽车、大健康、食品冷链等高潜力行业客户，不断拓宽市场覆盖，为业务持续增长注入新动力。在海外业务方面，公司紧密围绕全球化战略，积极跟随国内战略客户出海步伐，实现柬埔寨、摩洛哥、菲律宾等多个地区的项目签单。
</w:t>
            </w:r>
          </w:p>
          <w:p w14:paraId="742C2702">
            <w:pPr>
              <w:pStyle w:val="12"/>
              <w:keepNext w:val="0"/>
              <w:keepLines w:val="0"/>
              <w:pageBreakBefore w:val="0"/>
              <w:widowControl w:val="0"/>
              <w:numPr>
                <w:ilvl w:val="0"/>
                <w:numId w:val="1"/>
              </w:numPr>
              <w:kinsoku/>
              <w:wordWrap/>
              <w:overflowPunct/>
              <w:topLinePunct w:val="0"/>
              <w:autoSpaceDE/>
              <w:autoSpaceDN/>
              <w:bidi w:val="0"/>
              <w:adjustRightInd/>
              <w:snapToGrid/>
              <w:spacing w:before="156" w:after="156"/>
              <w:ind w:firstLine="366" w:firstLineChars="183"/>
              <w:textAlignment w:val="auto"/>
              <w:rPr>
                <w:rFonts w:hint="default" w:ascii="Times New Roman" w:hAnsi="Times New Roman" w:eastAsia="宋体" w:cs="Times New Roman"/>
                <w:b w:val="0"/>
                <w:sz w:val="20"/>
              </w:rPr>
            </w:pPr>
            <w:r>
              <w:rPr>
                <w:rFonts w:hint="default" w:ascii="Times New Roman" w:hAnsi="Times New Roman" w:eastAsia="宋体" w:cs="Times New Roman"/>
                <w:b w:val="0"/>
                <w:sz w:val="20"/>
              </w:rPr>
              <w:t>在新能源业务领域，公司坚持聚焦头部客户的战略，持续深化产业布局。2025年，公司积极融入全球头部锂电企业供应链体系，重点开拓动力电池与储能市场，成功开拓了得壹能源、亿纬锂能、新中能源、金羽新能源、远景动力等客户资源，订单数量与规模实现双增长。
</w:t>
            </w:r>
          </w:p>
          <w:p w14:paraId="4D8D7AB5">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0" w:firstLineChars="200"/>
              <w:textAlignment w:val="auto"/>
              <w:rPr>
                <w:rFonts w:hint="default" w:ascii="Times New Roman" w:hAnsi="Times New Roman" w:eastAsia="宋体" w:cs="Times New Roman"/>
                <w:b w:val="0"/>
                <w:sz w:val="20"/>
              </w:rPr>
            </w:pPr>
            <w:r>
              <w:rPr>
                <w:rFonts w:hint="default" w:ascii="Times New Roman" w:hAnsi="Times New Roman" w:eastAsia="宋体" w:cs="Times New Roman"/>
                <w:b w:val="0"/>
                <w:sz w:val="20"/>
              </w:rPr>
              <w:t>未来，公司将继续秉承“技术创新和市场拓展”双轮驱动，坚持智能物流、智能制造和新能源业务协同发展，聚焦新能源、轮胎、跨境电商等高增长领域，大力开拓国内和海外市场。基于公司清晰的战略路径以及持续向好的行业前景，我们对未来三年延续这一高质量增长态势充满信心。再次感谢您对公司的关注！</w:t>
            </w:r>
          </w:p>
          <w:p w14:paraId="469F5BAF">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2" w:firstLineChars="200"/>
              <w:textAlignment w:val="auto"/>
              <w:rPr>
                <w:rFonts w:hint="default" w:ascii="Times New Roman" w:hAnsi="Times New Roman" w:eastAsia="宋体" w:cs="Times New Roman"/>
                <w:b w:val="0"/>
                <w:sz w:val="20"/>
              </w:rPr>
            </w:pPr>
            <w:r>
              <w:rPr>
                <w:rFonts w:hint="eastAsia" w:cs="Times New Roman"/>
                <w:b/>
                <w:sz w:val="20"/>
                <w:lang w:val="en-US" w:eastAsia="zh-CN"/>
              </w:rPr>
              <w:t>问题5：</w:t>
            </w:r>
            <w:r>
              <w:rPr>
                <w:rFonts w:hint="default" w:ascii="Times New Roman" w:hAnsi="Times New Roman" w:eastAsia="宋体" w:cs="Times New Roman"/>
                <w:b/>
                <w:sz w:val="20"/>
              </w:rPr>
              <w:t>根据贵司《科捷智能科技股份有限公司关于2024年年度报告信息披露监管问询函的回复公告》显示24年国内物流板块大客户京东、顺丰的项目毛利率都很低，请问一下25年该板块国内毛利率是否有提升，是否有具体的改善措施？</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w:t>
            </w:r>
            <w:r>
              <w:rPr>
                <w:rFonts w:hint="eastAsia" w:cs="Times New Roman"/>
                <w:b w:val="0"/>
                <w:sz w:val="20"/>
                <w:lang w:val="en-US" w:eastAsia="zh-CN"/>
              </w:rPr>
              <w:t xml:space="preserve"> </w:t>
            </w:r>
            <w:r>
              <w:rPr>
                <w:rFonts w:hint="default" w:ascii="Times New Roman" w:hAnsi="Times New Roman" w:eastAsia="宋体" w:cs="Times New Roman"/>
                <w:b w:val="0"/>
                <w:sz w:val="20"/>
              </w:rPr>
              <w:t>答</w:t>
            </w:r>
            <w:r>
              <w:rPr>
                <w:rFonts w:hint="eastAsia" w:cs="Times New Roman"/>
                <w:b w:val="0"/>
                <w:sz w:val="20"/>
                <w:lang w:val="en-US" w:eastAsia="zh-CN"/>
              </w:rPr>
              <w:t>复：</w:t>
            </w:r>
            <w:r>
              <w:rPr>
                <w:rFonts w:hint="default" w:ascii="Times New Roman" w:hAnsi="Times New Roman" w:eastAsia="宋体" w:cs="Times New Roman"/>
                <w:b w:val="0"/>
                <w:sz w:val="20"/>
              </w:rPr>
              <w:t>尊敬的投资者您好，第三季度报告期内，公司累计实现营业收入26,055.54万元，同比增加47.08%，营业收入实现稳步增长；公司通过有效成本管控，毛利率较去年同期同比提升3.86个百分点，主营业务盈利能力持续增强；公司秉承“技术创新和市场拓展”双轮驱动，聚焦新能源、轮胎、跨境电商等高增长领域，持续加大研发投入，研发费用同比增长30.93%，为未来业务拓展奠定基础。</w:t>
            </w:r>
          </w:p>
          <w:p w14:paraId="3D033AB0">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0" w:firstLineChars="200"/>
              <w:textAlignment w:val="auto"/>
              <w:rPr>
                <w:rFonts w:hint="default" w:ascii="Times New Roman" w:hAnsi="Times New Roman" w:eastAsia="宋体" w:cs="Times New Roman"/>
                <w:b w:val="0"/>
                <w:sz w:val="20"/>
              </w:rPr>
            </w:pPr>
            <w:r>
              <w:rPr>
                <w:rFonts w:hint="default" w:ascii="Times New Roman" w:hAnsi="Times New Roman" w:eastAsia="宋体" w:cs="Times New Roman"/>
                <w:b w:val="0"/>
                <w:sz w:val="20"/>
              </w:rPr>
              <w:t>2025年公司持续加速海外市场开拓，采用“深耕海外本土客户+跟随中资战略客户出海”策略，有效突破海外市场份额，且因境外项目毛利率显著高于境内项目，该业务板块不仅推动营收规模提升，更直接为公司盈利水平改善提供关键支撑。同时，公司以增强长期核心竞争力为导向，对签单结构进行战略性调整，一方面主动减少低附加值项目承接；另一方面重点布局高价值、大规模项目，通过提升单个项目的签单规模与订单质量，实现盈利水平的优化。感谢您对公司的关注！</w:t>
            </w:r>
          </w:p>
          <w:p w14:paraId="3FE4E6E3">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2" w:firstLineChars="200"/>
              <w:textAlignment w:val="auto"/>
              <w:rPr>
                <w:rFonts w:hint="default" w:ascii="Times New Roman" w:hAnsi="Times New Roman" w:eastAsia="宋体" w:cs="Times New Roman"/>
                <w:b w:val="0"/>
                <w:sz w:val="20"/>
              </w:rPr>
            </w:pPr>
            <w:r>
              <w:rPr>
                <w:rFonts w:hint="eastAsia" w:cs="Times New Roman"/>
                <w:b/>
                <w:sz w:val="20"/>
                <w:lang w:val="en-US" w:eastAsia="zh-CN"/>
              </w:rPr>
              <w:t>问题6：</w:t>
            </w:r>
            <w:r>
              <w:rPr>
                <w:rFonts w:hint="default" w:ascii="Times New Roman" w:hAnsi="Times New Roman" w:eastAsia="宋体" w:cs="Times New Roman"/>
                <w:b/>
                <w:sz w:val="20"/>
              </w:rPr>
              <w:t>贵司项目周期大概9-12月，这个时间具体是分成几个阶段的，这个时间周期是否有缩短？</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w:t>
            </w:r>
            <w:r>
              <w:rPr>
                <w:rFonts w:hint="eastAsia" w:cs="Times New Roman"/>
                <w:b w:val="0"/>
                <w:sz w:val="20"/>
                <w:lang w:val="en-US" w:eastAsia="zh-CN"/>
              </w:rPr>
              <w:t xml:space="preserve"> </w:t>
            </w:r>
            <w:r>
              <w:rPr>
                <w:rFonts w:hint="default" w:ascii="Times New Roman" w:hAnsi="Times New Roman" w:eastAsia="宋体" w:cs="Times New Roman"/>
                <w:b w:val="0"/>
                <w:sz w:val="20"/>
              </w:rPr>
              <w:t>答</w:t>
            </w:r>
            <w:r>
              <w:rPr>
                <w:rFonts w:hint="eastAsia" w:cs="Times New Roman"/>
                <w:b w:val="0"/>
                <w:sz w:val="20"/>
                <w:lang w:val="en-US" w:eastAsia="zh-CN"/>
              </w:rPr>
              <w:t>复：</w:t>
            </w:r>
            <w:r>
              <w:rPr>
                <w:rFonts w:hint="default" w:ascii="Times New Roman" w:hAnsi="Times New Roman" w:eastAsia="宋体" w:cs="Times New Roman"/>
                <w:b w:val="0"/>
                <w:sz w:val="20"/>
              </w:rPr>
              <w:t>尊敬的投资者您好</w:t>
            </w:r>
            <w:r>
              <w:rPr>
                <w:rFonts w:hint="eastAsia" w:cs="Times New Roman"/>
                <w:b w:val="0"/>
                <w:sz w:val="20"/>
                <w:lang w:eastAsia="zh-CN"/>
              </w:rPr>
              <w:t>，</w:t>
            </w:r>
            <w:r>
              <w:rPr>
                <w:rFonts w:hint="default" w:ascii="Times New Roman" w:hAnsi="Times New Roman" w:eastAsia="宋体" w:cs="Times New Roman"/>
                <w:b w:val="0"/>
                <w:sz w:val="20"/>
              </w:rPr>
              <w:t>公司智能物流和智能制造系统项目周期主要分为系统咨询规划、集成设计、设备研发制造、软件研发实施及现场测试验收等核心阶段，从合同签署至项目验收，综合项目复杂程度、单笔订单规模等因素，整体周期通常落在9-12个月区间：其中小型项目因需求相对简单、实施流程更精简，验收周期会短于该区间；而复杂程度高、订单规模大的项目，因涉及更多定制化研发、多系统协同调试等环节，实施周期会相应延长。</w:t>
            </w:r>
          </w:p>
          <w:p w14:paraId="5328AF92">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0" w:firstLineChars="200"/>
              <w:textAlignment w:val="auto"/>
              <w:rPr>
                <w:rFonts w:hint="default" w:ascii="Times New Roman" w:hAnsi="Times New Roman" w:eastAsia="宋体" w:cs="Times New Roman"/>
                <w:b/>
                <w:sz w:val="20"/>
              </w:rPr>
            </w:pPr>
            <w:r>
              <w:rPr>
                <w:rFonts w:hint="default" w:ascii="Times New Roman" w:hAnsi="Times New Roman" w:eastAsia="宋体" w:cs="Times New Roman"/>
                <w:b w:val="0"/>
                <w:sz w:val="20"/>
              </w:rPr>
              <w:t>除上述因素影响外，近年来公司订单结构持续优化，大型项目及海外订单占比显著提升，海外项目因涉及国际物流、清关、适配当地验收标准等额外环节，交付周期较国内同等规模项目更长；同时，公司项目多配套客户新建厂房需求，设备入场安装与调试进度受制于客户基建完工节点，若客户基建延迟可能导致项目启动或关键环节延后，进而影响整体执行周期。未来公司将通过优化供应链管理、提升标准化交付能力、细化项目全流程管控等方式持续提升项目效率，感谢您对公司的关注。</w:t>
            </w:r>
            <w:r>
              <w:rPr>
                <w:rFonts w:hint="default" w:ascii="Times New Roman" w:hAnsi="Times New Roman" w:eastAsia="宋体" w:cs="Times New Roman"/>
                <w:b/>
                <w:sz w:val="20"/>
              </w:rPr>
              <w:t xml:space="preserve"> </w:t>
            </w:r>
          </w:p>
          <w:p w14:paraId="45F102B9">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2" w:firstLineChars="200"/>
              <w:textAlignment w:val="auto"/>
              <w:rPr>
                <w:rFonts w:hint="default" w:ascii="Times New Roman" w:hAnsi="Times New Roman" w:eastAsia="宋体" w:cs="Times New Roman"/>
                <w:b w:val="0"/>
                <w:sz w:val="20"/>
              </w:rPr>
            </w:pPr>
            <w:r>
              <w:rPr>
                <w:rFonts w:hint="eastAsia" w:cs="Times New Roman"/>
                <w:b/>
                <w:sz w:val="20"/>
                <w:lang w:val="en-US" w:eastAsia="zh-CN"/>
              </w:rPr>
              <w:t>问题7：</w:t>
            </w:r>
            <w:r>
              <w:rPr>
                <w:rFonts w:hint="default" w:ascii="Times New Roman" w:hAnsi="Times New Roman" w:eastAsia="宋体" w:cs="Times New Roman"/>
                <w:b/>
                <w:sz w:val="20"/>
              </w:rPr>
              <w:t>科捷今年能扭亏为盈吗？</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cs="Times New Roman"/>
                <w:b w:val="0"/>
                <w:sz w:val="20"/>
                <w:lang w:val="en-US" w:eastAsia="zh-CN"/>
              </w:rPr>
              <w:t>复：</w:t>
            </w:r>
            <w:r>
              <w:rPr>
                <w:rFonts w:hint="default" w:ascii="Times New Roman" w:hAnsi="Times New Roman" w:eastAsia="宋体" w:cs="Times New Roman"/>
                <w:b w:val="0"/>
                <w:sz w:val="20"/>
              </w:rPr>
              <w:t>尊敬的投资者您好！关于公司今年是否能够扭亏为盈等具体业绩数据，均以公司后续发布的正式公告为准。公司将严格遵守相关监管规定，及时、准确、完整地履行信息披露义务，感谢您对公司的持续关注与支持！</w:t>
            </w:r>
          </w:p>
          <w:p w14:paraId="17C5B039">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2" w:firstLineChars="200"/>
              <w:textAlignment w:val="auto"/>
              <w:rPr>
                <w:rFonts w:hint="default" w:ascii="Times New Roman" w:hAnsi="Times New Roman" w:eastAsia="宋体" w:cs="Times New Roman"/>
                <w:b w:val="0"/>
                <w:sz w:val="20"/>
              </w:rPr>
            </w:pPr>
            <w:r>
              <w:rPr>
                <w:rFonts w:hint="eastAsia" w:cs="Times New Roman"/>
                <w:b/>
                <w:bCs/>
                <w:sz w:val="20"/>
                <w:lang w:val="en-US" w:eastAsia="zh-CN"/>
              </w:rPr>
              <w:t>问题8：</w:t>
            </w:r>
            <w:r>
              <w:rPr>
                <w:rFonts w:hint="default" w:ascii="Times New Roman" w:hAnsi="Times New Roman" w:eastAsia="宋体" w:cs="Times New Roman"/>
                <w:b/>
                <w:sz w:val="20"/>
              </w:rPr>
              <w:t>前三季度公司海外在手订单同比增 73.81%，请问主要海外市场分布及未来重点拓展区域规划是什么？</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cs="Times New Roman"/>
                <w:b w:val="0"/>
                <w:sz w:val="20"/>
                <w:lang w:val="en-US" w:eastAsia="zh-CN"/>
              </w:rPr>
              <w:t>复：</w:t>
            </w:r>
            <w:r>
              <w:rPr>
                <w:rFonts w:hint="default" w:ascii="Times New Roman" w:hAnsi="Times New Roman" w:eastAsia="宋体" w:cs="Times New Roman"/>
                <w:b w:val="0"/>
                <w:sz w:val="20"/>
              </w:rPr>
              <w:t>尊敬的投资者您好！公司秉承国际化战略，致力于发挥国内工程师的研发实力和公司的大规模制造优势，以满足在全球市场销售、运输、现场安装、售后服务等方面的需求，为国际客户提供高性价比的产品服务。在全球化布局方面，公司已拓展东亚、南亚、东南亚、中东、欧洲等多个区域市场，并逐步推进本土化业务落地。目前，公司已在韩国、印度、泰国、柬埔寨、越南、土耳其、以色列、德国、法国、荷兰、摩洛哥等国家落地多个较大规模的项目并取得业务收入。通过上述项目的成功落地，公司赢得了包括韩国 Coupang、印度 Flipkart、Shopee、土耳其 Trendyol 等海外客户的高度认可，并在海外市场树立了大型项目的标杆效应，进一步巩固了本公司在全球智能物流和智能制造领域的竞争地位。2021-2024 年，公司海外新签订单从 3.95 亿元稳步增长至 11.36 亿元，规模持续攀升，2025 年上半年新签海外订单 8.66 亿元，同比增长 155.55%；截止到三季度末，公司海外在手订单 20.71 亿元，同比增长 73.81%，未来公司将深化海外区域布局与本土化落地，持续巩固全球市场竞争地位，感谢您的关注。</w:t>
            </w:r>
          </w:p>
          <w:p w14:paraId="191E64C3">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2" w:firstLineChars="200"/>
              <w:textAlignment w:val="auto"/>
              <w:rPr>
                <w:rFonts w:hint="default" w:ascii="Times New Roman" w:hAnsi="Times New Roman" w:eastAsia="宋体" w:cs="Times New Roman"/>
                <w:b w:val="0"/>
                <w:sz w:val="20"/>
              </w:rPr>
            </w:pPr>
            <w:r>
              <w:rPr>
                <w:rFonts w:hint="eastAsia" w:cs="Times New Roman"/>
                <w:b/>
                <w:sz w:val="20"/>
                <w:lang w:val="en-US" w:eastAsia="zh-CN"/>
              </w:rPr>
              <w:t>问题9：</w:t>
            </w:r>
            <w:r>
              <w:rPr>
                <w:rFonts w:hint="default" w:ascii="Times New Roman" w:hAnsi="Times New Roman" w:eastAsia="宋体" w:cs="Times New Roman"/>
                <w:b/>
                <w:sz w:val="20"/>
              </w:rPr>
              <w:t>董事长您好，科捷智能在今年国内的双十一和国外的黑色星期五是否会有比较亮眼的表现呢？临近年末，回顾今年的发展，公司有哪些挑战和机遇？</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cs="Times New Roman"/>
                <w:b w:val="0"/>
                <w:sz w:val="20"/>
                <w:lang w:val="en-US" w:eastAsia="zh-CN"/>
              </w:rPr>
              <w:t>复：</w:t>
            </w:r>
            <w:r>
              <w:rPr>
                <w:rFonts w:hint="default" w:ascii="Times New Roman" w:hAnsi="Times New Roman" w:eastAsia="宋体" w:cs="Times New Roman"/>
                <w:b w:val="0"/>
                <w:sz w:val="20"/>
              </w:rPr>
              <w:t>尊敬的投资者您好！公司智能物流业务深度服务快递物流与电商新零售行业，“双十一”“黑色星期五” 等大促期间正是相关项目集中交付验收的关键阶段，当前公司配套的智能分拣、仓储系统正高效支撑客户应对订单高峰，助力大促履约效率提升，相关业务收入也将集中在四季度体现。</w:t>
            </w:r>
          </w:p>
          <w:p w14:paraId="744FFA23">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0" w:firstLineChars="200"/>
              <w:textAlignment w:val="auto"/>
              <w:rPr>
                <w:rFonts w:hint="default" w:ascii="Times New Roman" w:hAnsi="Times New Roman" w:eastAsia="宋体" w:cs="Times New Roman"/>
                <w:b w:val="0"/>
                <w:sz w:val="20"/>
              </w:rPr>
            </w:pPr>
            <w:r>
              <w:rPr>
                <w:rFonts w:hint="default" w:ascii="Times New Roman" w:hAnsi="Times New Roman" w:eastAsia="宋体" w:cs="Times New Roman"/>
                <w:b w:val="0"/>
                <w:sz w:val="20"/>
              </w:rPr>
              <w:t>当前行业正迎来多重历史性发展机遇：AI、具身机器人等新技术蓬勃发展催生的智能化升级需求，海外快递电商与跨境电商扩张及中资企业出海带来的海外投资增长，叠加新能源汽车、动力电池及储能行业高速发展催生的产业链扩产需求，为公司智能物流、智能制造、新能源三大核心业务提供了广阔增长空间。同时，行业也面临地缘政治冲突带来的国际化不确定性、国内外市场竞争加剧以及新兴技术可能重构行业格局的挑战。公司将充分发挥自身核心优势，紧抓技术创新与市场拓展机遇，积极应对各类风险挑战，全力以赴实现高质量发展，回报广大投资者的信任与支持。感谢您对公司的持续关注与支持！</w:t>
            </w:r>
          </w:p>
          <w:p w14:paraId="02A84133">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2" w:firstLineChars="200"/>
              <w:textAlignment w:val="auto"/>
              <w:rPr>
                <w:rFonts w:hint="default" w:ascii="Times New Roman" w:hAnsi="Times New Roman" w:eastAsia="宋体" w:cs="Times New Roman"/>
                <w:b w:val="0"/>
                <w:sz w:val="20"/>
              </w:rPr>
            </w:pPr>
            <w:r>
              <w:rPr>
                <w:rFonts w:hint="eastAsia" w:cs="Times New Roman"/>
                <w:b/>
                <w:bCs/>
                <w:sz w:val="20"/>
                <w:lang w:val="en-US" w:eastAsia="zh-CN"/>
              </w:rPr>
              <w:t>问题10：</w:t>
            </w:r>
            <w:r>
              <w:rPr>
                <w:rFonts w:hint="default" w:ascii="Times New Roman" w:hAnsi="Times New Roman" w:eastAsia="宋体" w:cs="Times New Roman"/>
                <w:b/>
                <w:sz w:val="20"/>
              </w:rPr>
              <w:t>董事长您好，请问目前公司在手的国内外订单的情况是怎样的，毛利率是否比之前有所上升？订单交付周期是怎么样的？是否对今年的业绩扭亏有信心？</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cs="Times New Roman"/>
                <w:b w:val="0"/>
                <w:sz w:val="20"/>
                <w:lang w:val="en-US" w:eastAsia="zh-CN"/>
              </w:rPr>
              <w:t>复：</w:t>
            </w:r>
            <w:r>
              <w:rPr>
                <w:rFonts w:hint="default" w:ascii="Times New Roman" w:hAnsi="Times New Roman" w:eastAsia="宋体" w:cs="Times New Roman"/>
                <w:b w:val="0"/>
                <w:sz w:val="20"/>
              </w:rPr>
              <w:t>尊敬的投资您好，截至2025年9月公司在手订单为42.91亿元，同比增长70.34%，其中：海外在手订单20.71亿元，同比增长73.81%；智能物流在手订单24.88 亿元，同比增长122.42%。2025年前三季度毛利率为20.81%，同比增长4.87个百分点。</w:t>
            </w:r>
          </w:p>
          <w:p w14:paraId="6716B3DE">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0" w:firstLineChars="200"/>
              <w:textAlignment w:val="auto"/>
              <w:rPr>
                <w:rFonts w:hint="default" w:ascii="Times New Roman" w:hAnsi="Times New Roman" w:eastAsia="宋体" w:cs="Times New Roman"/>
                <w:b w:val="0"/>
                <w:sz w:val="20"/>
              </w:rPr>
            </w:pPr>
            <w:r>
              <w:rPr>
                <w:rFonts w:hint="default" w:ascii="Times New Roman" w:hAnsi="Times New Roman" w:eastAsia="宋体" w:cs="Times New Roman"/>
                <w:b w:val="0"/>
                <w:sz w:val="20"/>
              </w:rPr>
              <w:t>公司整体项目周期通常落在9-12个月区间：其中小型项目因需求相对简单、实施流程更精简，验收周期会短于该区间；而复杂程度高、订单规模大的项目，因涉及更多定制化研发、多系统协同调试等环节，实施周期会相应延长。除上述因素影响外，近年来公司订单结构持续优化，大型项目及海外订单占比显著提升，海外项目因涉及国际物流、清关、适配当地验收标准等额外环节，交付周期较国内同等规模项目更长；同时，公司项目多配套客户新建厂房需求，设备入场安装与调试进度受制于客户基建完工节点，若客户基建延迟可能导致项目启动或关键环节延后，进而影响整体执行周期。未来公司将通过优化供应链管理、提升标准化交付能力、细化项目全流程管控等方式持续提升项目效率。</w:t>
            </w:r>
          </w:p>
          <w:p w14:paraId="327A20F6">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0" w:firstLineChars="200"/>
              <w:textAlignment w:val="auto"/>
              <w:rPr>
                <w:rFonts w:hint="default" w:ascii="Times New Roman" w:hAnsi="Times New Roman" w:eastAsia="宋体" w:cs="Times New Roman"/>
                <w:b w:val="0"/>
                <w:sz w:val="20"/>
              </w:rPr>
            </w:pPr>
            <w:r>
              <w:rPr>
                <w:rFonts w:hint="default" w:ascii="Times New Roman" w:hAnsi="Times New Roman" w:eastAsia="宋体" w:cs="Times New Roman"/>
                <w:b w:val="0"/>
                <w:sz w:val="20"/>
              </w:rPr>
              <w:t>关于公司今年是否能够扭亏为盈等具体业绩数据，请以公司后续发布的正式公告为准。公司将严格遵守相关监管规定，及时、准确、完整地履行信息披露义务，感谢您对公司的持续关注与支持。</w:t>
            </w:r>
          </w:p>
          <w:p w14:paraId="000A6F7A">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2" w:firstLineChars="200"/>
              <w:textAlignment w:val="auto"/>
              <w:rPr>
                <w:rFonts w:hint="default" w:ascii="Times New Roman" w:hAnsi="Times New Roman" w:eastAsia="宋体" w:cs="Times New Roman"/>
                <w:b w:val="0"/>
                <w:sz w:val="20"/>
              </w:rPr>
            </w:pPr>
            <w:r>
              <w:rPr>
                <w:rFonts w:hint="eastAsia" w:cs="Times New Roman"/>
                <w:b/>
                <w:bCs/>
                <w:sz w:val="20"/>
                <w:lang w:val="en-US" w:eastAsia="zh-CN"/>
              </w:rPr>
              <w:t>问题11：</w:t>
            </w:r>
            <w:r>
              <w:rPr>
                <w:rFonts w:hint="default" w:ascii="Times New Roman" w:hAnsi="Times New Roman" w:eastAsia="宋体" w:cs="Times New Roman"/>
                <w:b/>
                <w:sz w:val="20"/>
              </w:rPr>
              <w:t>从公司三季报数据推测，公司三季度新签订单金额在5亿多的样子，环比有所下降。请问是否如此。公司新签订单金额会呈现季度特征么？</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cs="Times New Roman"/>
                <w:b w:val="0"/>
                <w:sz w:val="20"/>
                <w:lang w:val="en-US" w:eastAsia="zh-CN"/>
              </w:rPr>
              <w:t>复：</w:t>
            </w:r>
            <w:r>
              <w:rPr>
                <w:rFonts w:hint="default" w:ascii="Times New Roman" w:hAnsi="Times New Roman" w:eastAsia="宋体" w:cs="Times New Roman"/>
                <w:b w:val="0"/>
                <w:sz w:val="20"/>
              </w:rPr>
              <w:t>尊敬的投资者您好，公司新签订单金额，请以公司正式公告为准</w:t>
            </w:r>
            <w:r>
              <w:rPr>
                <w:rFonts w:hint="eastAsia" w:cs="Times New Roman"/>
                <w:b w:val="0"/>
                <w:sz w:val="20"/>
                <w:lang w:eastAsia="zh-CN"/>
              </w:rPr>
              <w:t>。</w:t>
            </w:r>
            <w:r>
              <w:rPr>
                <w:rFonts w:hint="default" w:ascii="Times New Roman" w:hAnsi="Times New Roman" w:eastAsia="宋体" w:cs="Times New Roman"/>
                <w:b w:val="0"/>
                <w:sz w:val="20"/>
              </w:rPr>
              <w:t>截至2025年三季度末，公司在手订单达42.91亿元，同比增长70.34%，订单储备充裕，为后续业绩提供坚实支撑。</w:t>
            </w:r>
          </w:p>
          <w:p w14:paraId="77EB6AFB">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0" w:firstLineChars="200"/>
              <w:textAlignment w:val="auto"/>
              <w:rPr>
                <w:rFonts w:hint="default" w:ascii="Times New Roman" w:hAnsi="Times New Roman" w:eastAsia="宋体" w:cs="Times New Roman"/>
                <w:b w:val="0"/>
                <w:sz w:val="20"/>
              </w:rPr>
            </w:pPr>
            <w:r>
              <w:rPr>
                <w:rFonts w:hint="default" w:ascii="Times New Roman" w:hAnsi="Times New Roman" w:eastAsia="宋体" w:cs="Times New Roman"/>
                <w:b w:val="0"/>
                <w:sz w:val="20"/>
              </w:rPr>
              <w:t>公司智能物流领域客户资本开支集中在一季度（布局来年业务）和四季度（备战年终大促） ；智能制造领域因客户行业分布广泛，订单获取相对均衡，季节性波动不明显。当前公司海外业务拓展顺利，重点行业需求持续，管理层对未来订单态势保持信心，感谢您的关注。</w:t>
            </w:r>
          </w:p>
          <w:p w14:paraId="238704FF">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2" w:firstLineChars="200"/>
              <w:textAlignment w:val="auto"/>
              <w:rPr>
                <w:rFonts w:hint="default" w:ascii="Times New Roman" w:hAnsi="Times New Roman" w:eastAsia="宋体" w:cs="Times New Roman"/>
                <w:b w:val="0"/>
                <w:sz w:val="20"/>
              </w:rPr>
            </w:pPr>
            <w:r>
              <w:rPr>
                <w:rFonts w:hint="eastAsia" w:cs="Times New Roman"/>
                <w:b/>
                <w:sz w:val="20"/>
                <w:lang w:val="en-US" w:eastAsia="zh-CN"/>
              </w:rPr>
              <w:t>问题12：</w:t>
            </w:r>
            <w:r>
              <w:rPr>
                <w:rFonts w:hint="default" w:ascii="Times New Roman" w:hAnsi="Times New Roman" w:eastAsia="宋体" w:cs="Times New Roman"/>
                <w:b/>
                <w:sz w:val="20"/>
              </w:rPr>
              <w:t>董事长您好，贵公司为展现对公司未来的信心和对投资者的回报，开启了对公司股份的回购并注销，目前已基本完成1.5亿回购金额，在12月10号之前公司是否会继续以此基础上进行进一步回购操作？</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cs="Times New Roman"/>
                <w:b w:val="0"/>
                <w:sz w:val="20"/>
                <w:lang w:val="en-US" w:eastAsia="zh-CN"/>
              </w:rPr>
              <w:t>复：</w:t>
            </w:r>
            <w:r>
              <w:rPr>
                <w:rFonts w:hint="default" w:ascii="Times New Roman" w:hAnsi="Times New Roman" w:eastAsia="宋体" w:cs="Times New Roman"/>
                <w:b w:val="0"/>
                <w:sz w:val="20"/>
              </w:rPr>
              <w:t>尊敬的投资者您好，公司回购是基于对未来发展的信心和对公司价值的认可，后续是否进一步实施回购，公司将严格遵循《上市公司股份回购规则》等相关规定，结合市场情况、公司经营发展等因素综合考量，核心目标是维护投资者利益、推动股价向长期内在价值合理回归。具体回购操作进展请以公司后续公告为准，感谢您的关注与支持。</w:t>
            </w:r>
          </w:p>
          <w:p w14:paraId="2208714C">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2" w:firstLineChars="200"/>
              <w:textAlignment w:val="auto"/>
              <w:rPr>
                <w:rFonts w:hint="default" w:ascii="Times New Roman" w:hAnsi="Times New Roman" w:eastAsia="宋体" w:cs="Times New Roman"/>
                <w:b w:val="0"/>
                <w:sz w:val="20"/>
              </w:rPr>
            </w:pPr>
            <w:r>
              <w:rPr>
                <w:rFonts w:hint="eastAsia" w:cs="Times New Roman"/>
                <w:b/>
                <w:bCs/>
                <w:sz w:val="20"/>
                <w:lang w:val="en-US" w:eastAsia="zh-CN"/>
              </w:rPr>
              <w:t>问题13：</w:t>
            </w:r>
            <w:r>
              <w:rPr>
                <w:rFonts w:hint="default" w:ascii="Times New Roman" w:hAnsi="Times New Roman" w:eastAsia="宋体" w:cs="Times New Roman"/>
                <w:b/>
                <w:sz w:val="20"/>
              </w:rPr>
              <w:t>各位公司领导上午好，请问公司四季度大幅增加顺丰的关联交易，是否会降低公司整体毛利率？另外请问在反内卷的背景下，国内订单毛利率改善情况如何。谢谢</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cs="Times New Roman"/>
                <w:b w:val="0"/>
                <w:sz w:val="20"/>
                <w:lang w:val="en-US" w:eastAsia="zh-CN"/>
              </w:rPr>
              <w:t>复：</w:t>
            </w:r>
            <w:r>
              <w:rPr>
                <w:rFonts w:hint="default" w:ascii="Times New Roman" w:hAnsi="Times New Roman" w:eastAsia="宋体" w:cs="Times New Roman"/>
                <w:b w:val="0"/>
                <w:sz w:val="20"/>
              </w:rPr>
              <w:t>尊敬的投资者您好！在国内市场“反内卷”背景下，2024年四季度以来行业竞争环境日趋理性，市场需求逐步回暖，叠加政策推动下物流行业整体毛利率呈回升态势，为公司盈利改善创造了良好环境。公司关联交易遵循市场化定价原则，合作本质是发挥双方资源协同效应，一方面可通过规模采购、高效履约降低部分运营成本，另一方面交易毛利率需结合具体业务场景、产品配置及成本结构等综合核算，公司正通过多重举措提升国内订单盈利能力：一是推进精益成本管理，强化全流程预算管控，减少设计至交付各环节浪费；二是推动产品模块化升级与数字化转型，优化标准化流程，提升项目交付效率；三是深化数字化供应链管理与核心供应商合作，优化采购策略，有效控制采购成本。目前这些举措已在部分项目中显现成效，助力国内订单盈利能力稳步改善。因此，顺丰侧业务的开展不会对公司整体毛利率产生重大影响。具体毛利率等经营情况，敬请您关注公司定期报告内容，公司将严格按照信息披露规则及时、准确披露经营财务信息，感谢您的关注与支持。</w:t>
            </w:r>
          </w:p>
          <w:p w14:paraId="22D24482">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2" w:firstLineChars="200"/>
              <w:textAlignment w:val="auto"/>
              <w:rPr>
                <w:rFonts w:hint="default" w:ascii="Times New Roman" w:hAnsi="Times New Roman" w:eastAsia="宋体" w:cs="Times New Roman"/>
                <w:b w:val="0"/>
                <w:sz w:val="20"/>
              </w:rPr>
            </w:pPr>
            <w:r>
              <w:rPr>
                <w:rFonts w:hint="eastAsia" w:cs="Times New Roman"/>
                <w:b/>
                <w:bCs/>
                <w:sz w:val="20"/>
                <w:lang w:val="en-US" w:eastAsia="zh-CN"/>
              </w:rPr>
              <w:t>问题14：</w:t>
            </w:r>
            <w:r>
              <w:rPr>
                <w:rFonts w:hint="default" w:ascii="Times New Roman" w:hAnsi="Times New Roman" w:eastAsia="宋体" w:cs="Times New Roman"/>
                <w:b/>
                <w:sz w:val="20"/>
              </w:rPr>
              <w:t>请问贵公司第二期进行的回购股份用于出售的股票，是否已经全部出售完毕，是否有盈利，如有盈利是否会计入2025年年度报表？</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cs="Times New Roman"/>
                <w:b w:val="0"/>
                <w:sz w:val="20"/>
                <w:lang w:val="en-US" w:eastAsia="zh-CN"/>
              </w:rPr>
              <w:t>复：</w:t>
            </w:r>
            <w:r>
              <w:rPr>
                <w:rFonts w:hint="default" w:ascii="Times New Roman" w:hAnsi="Times New Roman" w:eastAsia="宋体" w:cs="Times New Roman"/>
                <w:b w:val="0"/>
                <w:sz w:val="20"/>
              </w:rPr>
              <w:t>尊敬的投资者您好，根据《上市公司股份回购规则》《上海证券交易所上市公司自律监管指引第7号——回购股份》等相关规定，公司进行的第二期股份回购购买的股份尚未出售，具体出售时机将由公司根据市场情况决定，以实现维护公司价值及股东权益的目的，请您关注公司后续相关公告。</w:t>
            </w:r>
          </w:p>
          <w:p w14:paraId="6B91A53C">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0" w:firstLineChars="200"/>
              <w:textAlignment w:val="auto"/>
              <w:rPr>
                <w:rFonts w:hint="default" w:ascii="Times New Roman" w:hAnsi="Times New Roman" w:eastAsia="宋体" w:cs="Times New Roman"/>
                <w:b w:val="0"/>
                <w:sz w:val="20"/>
              </w:rPr>
            </w:pPr>
            <w:r>
              <w:rPr>
                <w:rFonts w:hint="default" w:ascii="Times New Roman" w:hAnsi="Times New Roman" w:eastAsia="宋体" w:cs="Times New Roman"/>
                <w:b w:val="0"/>
                <w:sz w:val="20"/>
              </w:rPr>
              <w:t>公司第二期股份回购购买的股份存在账面浮盈，在股份持有期间，账面盈利不计入利润表，不影响当期损益；在实际出售时，售价与库存股成本的差额将调整所有者权益（资本公积-股本溢价），亦不进入利润表，因此不会影响公司定期报告损益。感谢您的关注与支持！</w:t>
            </w:r>
          </w:p>
          <w:p w14:paraId="6E64B87C">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2" w:firstLineChars="200"/>
              <w:textAlignment w:val="auto"/>
              <w:rPr>
                <w:rFonts w:hint="default" w:ascii="Times New Roman" w:hAnsi="Times New Roman" w:eastAsia="宋体" w:cs="Times New Roman"/>
                <w:b w:val="0"/>
                <w:sz w:val="20"/>
              </w:rPr>
            </w:pPr>
            <w:r>
              <w:rPr>
                <w:rFonts w:hint="eastAsia" w:cs="Times New Roman"/>
                <w:b/>
                <w:bCs/>
                <w:sz w:val="20"/>
                <w:lang w:val="en-US" w:eastAsia="zh-CN"/>
              </w:rPr>
              <w:t>问题15：</w:t>
            </w:r>
            <w:r>
              <w:rPr>
                <w:rFonts w:hint="default" w:ascii="Times New Roman" w:hAnsi="Times New Roman" w:eastAsia="宋体" w:cs="Times New Roman"/>
                <w:b/>
                <w:sz w:val="20"/>
              </w:rPr>
              <w:t>董事长您好，近期在各大平台看见了贵公司的宣传和推广，觉得效果很好。让我们看见了公司在智能化，定制化和模块化的加持下能更快捷更有效率的匹配客户端生产需求。近年来国内各产业链向外转移，产业升级的需求也持续增长，从而加速了新厂区，新生产线的建设需求。希望公司能抓住机遇，稳中有进，并结合自身的优势，不断整合资源来扩展市场，给公司，给各股东以正向的回报。</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cs="Times New Roman"/>
                <w:b w:val="0"/>
                <w:sz w:val="20"/>
                <w:lang w:val="en-US" w:eastAsia="zh-CN"/>
              </w:rPr>
              <w:t>复：</w:t>
            </w:r>
            <w:r>
              <w:rPr>
                <w:rFonts w:hint="default" w:ascii="Times New Roman" w:hAnsi="Times New Roman" w:eastAsia="宋体" w:cs="Times New Roman"/>
                <w:b w:val="0"/>
                <w:sz w:val="20"/>
              </w:rPr>
              <w:t>尊敬的投资者您好，感谢您对公司的认可与支持，公司将把握产业升级机遇，持续推进“国际化、模块化、数字化、标准化”战略，通过资源整合和市场扩展来实现稳健发展。我们将继续努力，以期为公司和股东创造更大的价值。再次感谢您的宝贵意见和对公司的支持。</w:t>
            </w:r>
          </w:p>
          <w:p w14:paraId="04920D9E">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2" w:firstLineChars="200"/>
              <w:textAlignment w:val="auto"/>
              <w:rPr>
                <w:rFonts w:hint="default" w:ascii="Times New Roman" w:hAnsi="Times New Roman" w:eastAsia="宋体" w:cs="Times New Roman"/>
                <w:b w:val="0"/>
                <w:sz w:val="20"/>
              </w:rPr>
            </w:pPr>
            <w:r>
              <w:rPr>
                <w:rFonts w:hint="eastAsia" w:cs="Times New Roman"/>
                <w:b/>
                <w:bCs/>
                <w:sz w:val="20"/>
                <w:lang w:val="en-US" w:eastAsia="zh-CN"/>
              </w:rPr>
              <w:t>问题16：</w:t>
            </w:r>
            <w:r>
              <w:rPr>
                <w:rFonts w:hint="default" w:ascii="Times New Roman" w:hAnsi="Times New Roman" w:eastAsia="宋体" w:cs="Times New Roman"/>
                <w:b/>
                <w:sz w:val="20"/>
              </w:rPr>
              <w:t>尊敬的领导您好，请问一下新能源板块是贵司未来重要发力的板块吗？目前该领域进展如何？贵司在该领域的技术储备如何？未来几年该板卡的营业额目标是多少？</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cs="Times New Roman"/>
                <w:b w:val="0"/>
                <w:sz w:val="20"/>
                <w:lang w:val="en-US" w:eastAsia="zh-CN"/>
              </w:rPr>
              <w:t>复：</w:t>
            </w:r>
            <w:r>
              <w:rPr>
                <w:rFonts w:hint="default" w:ascii="Times New Roman" w:hAnsi="Times New Roman" w:eastAsia="宋体" w:cs="Times New Roman"/>
                <w:b w:val="0"/>
                <w:sz w:val="20"/>
              </w:rPr>
              <w:t>尊敬的投资者您好！新能源板块是公司三大核心业务之一，也是未来重点发力的战略方向，与智能物流、智能工厂业务协同联动，契合“双碳”目标下产业绿色转型趋势。</w:t>
            </w:r>
          </w:p>
          <w:p w14:paraId="475DF070">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0" w:firstLineChars="200"/>
              <w:textAlignment w:val="auto"/>
              <w:rPr>
                <w:rFonts w:hint="eastAsia" w:cs="Times New Roman"/>
                <w:b w:val="0"/>
                <w:sz w:val="20"/>
                <w:lang w:eastAsia="zh-CN"/>
              </w:rPr>
            </w:pPr>
            <w:r>
              <w:rPr>
                <w:rFonts w:hint="default" w:ascii="Times New Roman" w:hAnsi="Times New Roman" w:eastAsia="宋体" w:cs="Times New Roman"/>
                <w:b w:val="0"/>
                <w:sz w:val="20"/>
              </w:rPr>
              <w:t>公司自2022年成立新能源事业部以来，已深度融入全球头部锂电企业供应链，聚焦动力电池与储能两大核心市场，成功开拓了亿纬锂能、远景动力、鹏辉新能源、得壹能源、金羽新能源等客户资源，2025年相关订单数量与规模实现双增长，业务布局持续深化</w:t>
            </w:r>
            <w:r>
              <w:rPr>
                <w:rFonts w:hint="eastAsia" w:cs="Times New Roman"/>
                <w:b w:val="0"/>
                <w:sz w:val="20"/>
                <w:lang w:eastAsia="zh-CN"/>
              </w:rPr>
              <w:t>。</w:t>
            </w:r>
          </w:p>
          <w:p w14:paraId="5124B094">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0" w:firstLineChars="200"/>
              <w:textAlignment w:val="auto"/>
              <w:rPr>
                <w:rFonts w:hint="default" w:ascii="Times New Roman" w:hAnsi="Times New Roman" w:eastAsia="宋体" w:cs="Times New Roman"/>
                <w:b w:val="0"/>
                <w:sz w:val="20"/>
              </w:rPr>
            </w:pPr>
            <w:r>
              <w:rPr>
                <w:rFonts w:hint="default" w:ascii="Times New Roman" w:hAnsi="Times New Roman" w:eastAsia="宋体" w:cs="Times New Roman"/>
                <w:b w:val="0"/>
                <w:sz w:val="20"/>
              </w:rPr>
              <w:t>技术方面，新能源业务与公司现有核心业务共享机械、电气、软件、AI视觉、智能算法等关键技术与设备资源，叠加大量专业工程师人才储备，形成了高效的技术快速转换能力，为业务拓展提供坚实支撑。</w:t>
            </w:r>
          </w:p>
          <w:p w14:paraId="4572DFB3">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0" w:firstLineChars="200"/>
              <w:textAlignment w:val="auto"/>
              <w:rPr>
                <w:rFonts w:hint="default" w:ascii="Times New Roman" w:hAnsi="Times New Roman" w:eastAsia="宋体" w:cs="Times New Roman"/>
                <w:b w:val="0"/>
                <w:sz w:val="20"/>
              </w:rPr>
            </w:pPr>
            <w:r>
              <w:rPr>
                <w:rFonts w:hint="default" w:ascii="Times New Roman" w:hAnsi="Times New Roman" w:eastAsia="宋体" w:cs="Times New Roman"/>
                <w:b w:val="0"/>
                <w:sz w:val="20"/>
              </w:rPr>
              <w:t>公司已制定新能源板块中长期增长规划，具体量化指标将结合市场拓展进度、客户需求落地及行业竞争态势动态调整，相关业绩目标与进展，敬请关注公司后续定期报告与公告，公司将持续聚焦核心市场与头部客户，推动新能源业务高质量增长，感谢您的关注与支持！</w:t>
            </w:r>
          </w:p>
          <w:p w14:paraId="731A8CD3">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2" w:firstLineChars="200"/>
              <w:textAlignment w:val="auto"/>
              <w:rPr>
                <w:rFonts w:hint="default" w:ascii="Times New Roman" w:hAnsi="Times New Roman" w:eastAsia="宋体" w:cs="Times New Roman"/>
                <w:b w:val="0"/>
                <w:sz w:val="20"/>
              </w:rPr>
            </w:pPr>
            <w:r>
              <w:rPr>
                <w:rFonts w:hint="eastAsia" w:cs="Times New Roman"/>
                <w:b/>
                <w:bCs/>
                <w:sz w:val="20"/>
                <w:lang w:val="en-US" w:eastAsia="zh-CN"/>
              </w:rPr>
              <w:t>问题17：</w:t>
            </w:r>
            <w:r>
              <w:rPr>
                <w:rFonts w:hint="default" w:ascii="Times New Roman" w:hAnsi="Times New Roman" w:eastAsia="宋体" w:cs="Times New Roman"/>
                <w:b/>
                <w:sz w:val="20"/>
              </w:rPr>
              <w:t>公司研发和管理费用都是同比两位数增长，请问公司研发和管理费用未来预计是怎样的增长水平</w:t>
            </w:r>
            <w:r>
              <w:rPr>
                <w:rFonts w:hint="eastAsia" w:cs="Times New Roman"/>
                <w:b/>
                <w:sz w:val="20"/>
                <w:lang w:eastAsia="zh-CN"/>
              </w:rPr>
              <w:t>？</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cs="Times New Roman"/>
                <w:b w:val="0"/>
                <w:sz w:val="20"/>
                <w:lang w:val="en-US" w:eastAsia="zh-CN"/>
              </w:rPr>
              <w:t>复：</w:t>
            </w:r>
            <w:r>
              <w:rPr>
                <w:rFonts w:hint="default" w:ascii="Times New Roman" w:hAnsi="Times New Roman" w:eastAsia="宋体" w:cs="Times New Roman"/>
                <w:b w:val="0"/>
                <w:sz w:val="20"/>
              </w:rPr>
              <w:t>尊敬的投资者您好，公司始终认为，面向未来的、有质量的战略性投入是驱动长期可持续发展的核心动力。2025年前三季度公司研发费用和管理费用增长的原因如下：公司研发投入7986.54万元，同比增长14.91%，主要系公司加大对研发团队投入，招聘更多高素质专业人才，并适度提高研发人员的薪酬待遇，以激励创新和提升研发效率。公司在研发上继续以“产品与技术双轮驱动”为核心主线，以前瞻战略视角深度洞察重点行业技术演进方向，持续加大研发投入，系统推进产品模块化升级，全面增强产品竞争力与服务品质，助力客户实现跨越式升级与可持续发展。公司管理费用为9605.76 万元，同比增加 21.06%，主要系公司在推进“国际化、模块化、数字化、标准化”战略过程中，为确保公司战略的有效落地并持续优化运营体系，进一步加强了人才队伍建设，并持续优化人才结构，使得管理费用同比增加。
</w:t>
            </w:r>
          </w:p>
          <w:p w14:paraId="6D08205B">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0" w:firstLineChars="200"/>
              <w:textAlignment w:val="auto"/>
              <w:rPr>
                <w:rFonts w:hint="default" w:ascii="Times New Roman" w:hAnsi="Times New Roman" w:eastAsia="宋体" w:cs="Times New Roman"/>
                <w:b w:val="0"/>
                <w:sz w:val="20"/>
              </w:rPr>
            </w:pPr>
            <w:r>
              <w:rPr>
                <w:rFonts w:hint="default" w:ascii="Times New Roman" w:hAnsi="Times New Roman" w:eastAsia="宋体" w:cs="Times New Roman"/>
                <w:b w:val="0"/>
                <w:sz w:val="20"/>
              </w:rPr>
              <w:t>未来，公司将通过营收规模的快速增长、毛利率的优化以及运营效率的不断提升，确保研发的战略性投入，实现管理费用的有效控制，为投资者带来长期且可持续的回报。感谢您的关注！</w:t>
            </w:r>
          </w:p>
          <w:p w14:paraId="2655C122">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2" w:firstLineChars="200"/>
              <w:textAlignment w:val="auto"/>
              <w:rPr>
                <w:rFonts w:hint="default" w:ascii="Times New Roman" w:hAnsi="Times New Roman" w:eastAsia="宋体" w:cs="Times New Roman"/>
                <w:b w:val="0"/>
                <w:sz w:val="20"/>
              </w:rPr>
            </w:pPr>
            <w:r>
              <w:rPr>
                <w:rFonts w:hint="eastAsia" w:cs="Times New Roman"/>
                <w:b/>
                <w:bCs/>
                <w:sz w:val="20"/>
                <w:lang w:val="en-US" w:eastAsia="zh-CN"/>
              </w:rPr>
              <w:t>问题18：</w:t>
            </w:r>
            <w:r>
              <w:rPr>
                <w:rFonts w:hint="default" w:ascii="Times New Roman" w:hAnsi="Times New Roman" w:eastAsia="宋体" w:cs="Times New Roman"/>
                <w:b/>
                <w:sz w:val="20"/>
              </w:rPr>
              <w:t>目前公司现金流状况如何？有什么改善措施？</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cs="Times New Roman"/>
                <w:b w:val="0"/>
                <w:sz w:val="20"/>
                <w:lang w:val="en-US" w:eastAsia="zh-CN"/>
              </w:rPr>
              <w:t>复：</w:t>
            </w:r>
            <w:r>
              <w:rPr>
                <w:rFonts w:hint="default" w:ascii="Times New Roman" w:hAnsi="Times New Roman" w:eastAsia="宋体" w:cs="Times New Roman"/>
                <w:b w:val="0"/>
                <w:sz w:val="20"/>
              </w:rPr>
              <w:t>尊敬的投资者您好，截至 2025 年三季度末，公司现金流面临阶段性压力，主要系今年新签订单规模大幅增长，业务开展过程中阶段性垫资需求增加所致。但需说明的是，公司在手订单储备充裕，截至2025年9月，公司在手订单为42.91亿元，同比增长70.34%，其中：海外在手订单20.71亿元，同比增长73.81%；智能物流在手订单24.88 亿元，同比增长122.42%；核心业务的强劲增长为后续现金流入提供了坚实支撑。</w:t>
            </w:r>
          </w:p>
          <w:p w14:paraId="13BFDA22">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0" w:firstLineChars="200"/>
              <w:textAlignment w:val="auto"/>
              <w:rPr>
                <w:rFonts w:hint="default" w:ascii="Times New Roman" w:hAnsi="Times New Roman" w:eastAsia="宋体" w:cs="Times New Roman"/>
                <w:b w:val="0"/>
                <w:sz w:val="20"/>
              </w:rPr>
            </w:pPr>
            <w:r>
              <w:rPr>
                <w:rFonts w:hint="default" w:ascii="Times New Roman" w:hAnsi="Times New Roman" w:eastAsia="宋体" w:cs="Times New Roman"/>
                <w:b w:val="0"/>
                <w:sz w:val="20"/>
              </w:rPr>
              <w:t>
为改善现金流状况，公司已从多维度推进针对性举措：一是强化应收账款全周期管控，优化回款流程与考核机制，加速资金回笼；二是深化精益成本管理，严控非必要支出，提升资金使用效率；三是持续优化业务结构，聚焦高毛利、高现金流贡献项目，降低垫资压力；四是提升运营与交付效率，缩短项目回款周期；五是通过财务工具合理对冲风险，保障资金链稳定。未来，伴随公司订单逐步交付，公司现金流将会逐步改善，再次感谢您的关注与支持！</w:t>
            </w:r>
          </w:p>
          <w:p w14:paraId="0959F30C">
            <w:pPr>
              <w:pStyle w:val="12"/>
              <w:keepNext w:val="0"/>
              <w:keepLines w:val="0"/>
              <w:pageBreakBefore w:val="0"/>
              <w:widowControl w:val="0"/>
              <w:numPr>
                <w:ilvl w:val="0"/>
                <w:numId w:val="0"/>
              </w:numPr>
              <w:kinsoku/>
              <w:wordWrap/>
              <w:overflowPunct/>
              <w:topLinePunct w:val="0"/>
              <w:autoSpaceDE/>
              <w:autoSpaceDN/>
              <w:bidi w:val="0"/>
              <w:adjustRightInd/>
              <w:snapToGrid/>
              <w:spacing w:before="156" w:after="156"/>
              <w:ind w:firstLine="402" w:firstLineChars="200"/>
              <w:textAlignment w:val="auto"/>
              <w:rPr>
                <w:rFonts w:hint="default" w:ascii="Times New Roman" w:hAnsi="Times New Roman" w:cs="Times New Roman"/>
                <w:sz w:val="21"/>
                <w:szCs w:val="21"/>
              </w:rPr>
            </w:pPr>
            <w:r>
              <w:rPr>
                <w:rFonts w:hint="eastAsia" w:cs="Times New Roman"/>
                <w:b/>
                <w:bCs/>
                <w:sz w:val="20"/>
                <w:lang w:val="en-US" w:eastAsia="zh-CN"/>
              </w:rPr>
              <w:t>问题19：</w:t>
            </w:r>
            <w:r>
              <w:rPr>
                <w:rFonts w:hint="default" w:ascii="Times New Roman" w:hAnsi="Times New Roman" w:eastAsia="宋体" w:cs="Times New Roman"/>
                <w:b/>
                <w:sz w:val="20"/>
              </w:rPr>
              <w:t>请问贵公司和顺丰控股有哪些方面的合作？</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cs="Times New Roman"/>
                <w:b w:val="0"/>
                <w:sz w:val="20"/>
                <w:lang w:val="en-US" w:eastAsia="zh-CN"/>
              </w:rPr>
              <w:t>复：</w:t>
            </w:r>
            <w:r>
              <w:rPr>
                <w:rFonts w:hint="default" w:ascii="Times New Roman" w:hAnsi="Times New Roman" w:eastAsia="宋体" w:cs="Times New Roman"/>
                <w:b w:val="0"/>
                <w:sz w:val="20"/>
              </w:rPr>
              <w:t>尊敬的投资者您好！顺丰作为公司第二大股东，在公司拥有董事席位，双方形成了股权与业务双重深度合作的关系。业务层面，自公司成立以来顺丰就是公司核心客户，长期采购智能输送、分拣等系统用于其中转场自动化升级；同时双方依托各自优势开展前瞻性研发合作，持续深化智能物流领域协同。此外，随着顺丰境外业务拓展，双方合作已延伸至海外市场，协同效应持续凸显 。感谢您对公司的关注！</w:t>
            </w:r>
          </w:p>
        </w:tc>
      </w:tr>
    </w:tbl>
    <w:p w14:paraId="1BD20BA1">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7EECA"/>
    <w:multiLevelType w:val="singleLevel"/>
    <w:tmpl w:val="0227EEC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3ZjMwZmYyYjZlYzFmMGQyYmU3MmM2MGMwZmY2NmUifQ=="/>
  </w:docVars>
  <w:rsids>
    <w:rsidRoot w:val="0067631B"/>
    <w:rsid w:val="00000A90"/>
    <w:rsid w:val="0000329D"/>
    <w:rsid w:val="000033CD"/>
    <w:rsid w:val="00003A71"/>
    <w:rsid w:val="00003AF2"/>
    <w:rsid w:val="00004FCB"/>
    <w:rsid w:val="00005F50"/>
    <w:rsid w:val="00006B32"/>
    <w:rsid w:val="00007060"/>
    <w:rsid w:val="00013538"/>
    <w:rsid w:val="00014026"/>
    <w:rsid w:val="00014CF8"/>
    <w:rsid w:val="000164CE"/>
    <w:rsid w:val="00021C77"/>
    <w:rsid w:val="000223D7"/>
    <w:rsid w:val="00022D48"/>
    <w:rsid w:val="00023E1F"/>
    <w:rsid w:val="0002425B"/>
    <w:rsid w:val="00026B2F"/>
    <w:rsid w:val="0003227C"/>
    <w:rsid w:val="0003251D"/>
    <w:rsid w:val="0003646B"/>
    <w:rsid w:val="000405F8"/>
    <w:rsid w:val="000443DB"/>
    <w:rsid w:val="00045190"/>
    <w:rsid w:val="00046B28"/>
    <w:rsid w:val="00051C65"/>
    <w:rsid w:val="00051DF4"/>
    <w:rsid w:val="000542F6"/>
    <w:rsid w:val="000549AD"/>
    <w:rsid w:val="00057F26"/>
    <w:rsid w:val="00061B09"/>
    <w:rsid w:val="00062D50"/>
    <w:rsid w:val="00062EB6"/>
    <w:rsid w:val="00066108"/>
    <w:rsid w:val="0006619A"/>
    <w:rsid w:val="00067321"/>
    <w:rsid w:val="000708B2"/>
    <w:rsid w:val="0007126A"/>
    <w:rsid w:val="00073E07"/>
    <w:rsid w:val="0007514A"/>
    <w:rsid w:val="00075EE3"/>
    <w:rsid w:val="00076185"/>
    <w:rsid w:val="000768B6"/>
    <w:rsid w:val="00077D38"/>
    <w:rsid w:val="000808CF"/>
    <w:rsid w:val="0008145B"/>
    <w:rsid w:val="00081D4F"/>
    <w:rsid w:val="00082964"/>
    <w:rsid w:val="00082E4F"/>
    <w:rsid w:val="00084029"/>
    <w:rsid w:val="00086307"/>
    <w:rsid w:val="000907D4"/>
    <w:rsid w:val="0009435B"/>
    <w:rsid w:val="000A0E8C"/>
    <w:rsid w:val="000A2D9F"/>
    <w:rsid w:val="000A7087"/>
    <w:rsid w:val="000B35F3"/>
    <w:rsid w:val="000B4ABE"/>
    <w:rsid w:val="000B5B5C"/>
    <w:rsid w:val="000C1EA6"/>
    <w:rsid w:val="000C37C1"/>
    <w:rsid w:val="000C6D83"/>
    <w:rsid w:val="000D0266"/>
    <w:rsid w:val="000D2062"/>
    <w:rsid w:val="000D467A"/>
    <w:rsid w:val="000D4897"/>
    <w:rsid w:val="000D6F7A"/>
    <w:rsid w:val="000E3FD7"/>
    <w:rsid w:val="000E45FE"/>
    <w:rsid w:val="000E4903"/>
    <w:rsid w:val="000E5A80"/>
    <w:rsid w:val="000E63D4"/>
    <w:rsid w:val="000E68D0"/>
    <w:rsid w:val="000E7733"/>
    <w:rsid w:val="000F069F"/>
    <w:rsid w:val="000F0B2C"/>
    <w:rsid w:val="000F1924"/>
    <w:rsid w:val="000F3BA0"/>
    <w:rsid w:val="000F41F5"/>
    <w:rsid w:val="000F442A"/>
    <w:rsid w:val="000F5D02"/>
    <w:rsid w:val="000F748A"/>
    <w:rsid w:val="001029C5"/>
    <w:rsid w:val="00105197"/>
    <w:rsid w:val="00105EAF"/>
    <w:rsid w:val="00111D0D"/>
    <w:rsid w:val="00111F72"/>
    <w:rsid w:val="00112A31"/>
    <w:rsid w:val="00116B6C"/>
    <w:rsid w:val="001179AF"/>
    <w:rsid w:val="0012069A"/>
    <w:rsid w:val="0012384B"/>
    <w:rsid w:val="001240D9"/>
    <w:rsid w:val="001304D1"/>
    <w:rsid w:val="00134FBF"/>
    <w:rsid w:val="0013798E"/>
    <w:rsid w:val="00140043"/>
    <w:rsid w:val="001523EE"/>
    <w:rsid w:val="00152BE0"/>
    <w:rsid w:val="00153549"/>
    <w:rsid w:val="00154D62"/>
    <w:rsid w:val="00160082"/>
    <w:rsid w:val="00160241"/>
    <w:rsid w:val="00164FDA"/>
    <w:rsid w:val="00165938"/>
    <w:rsid w:val="00167746"/>
    <w:rsid w:val="00167863"/>
    <w:rsid w:val="001729EE"/>
    <w:rsid w:val="0017605E"/>
    <w:rsid w:val="001760EB"/>
    <w:rsid w:val="00180EA2"/>
    <w:rsid w:val="001917E5"/>
    <w:rsid w:val="00191B1D"/>
    <w:rsid w:val="001954D5"/>
    <w:rsid w:val="00195F9F"/>
    <w:rsid w:val="001A1F18"/>
    <w:rsid w:val="001A3D73"/>
    <w:rsid w:val="001A6BB6"/>
    <w:rsid w:val="001B2D34"/>
    <w:rsid w:val="001B3C60"/>
    <w:rsid w:val="001B3DA9"/>
    <w:rsid w:val="001B66ED"/>
    <w:rsid w:val="001C1449"/>
    <w:rsid w:val="001C2055"/>
    <w:rsid w:val="001C519A"/>
    <w:rsid w:val="001C5928"/>
    <w:rsid w:val="001D3651"/>
    <w:rsid w:val="001D5291"/>
    <w:rsid w:val="001D5875"/>
    <w:rsid w:val="001D7CC1"/>
    <w:rsid w:val="001E082D"/>
    <w:rsid w:val="001E5FA6"/>
    <w:rsid w:val="001F18D6"/>
    <w:rsid w:val="001F5375"/>
    <w:rsid w:val="001F5804"/>
    <w:rsid w:val="002002B2"/>
    <w:rsid w:val="00201146"/>
    <w:rsid w:val="00201DFC"/>
    <w:rsid w:val="002040E8"/>
    <w:rsid w:val="002061DE"/>
    <w:rsid w:val="002070E5"/>
    <w:rsid w:val="00216724"/>
    <w:rsid w:val="002174CD"/>
    <w:rsid w:val="00223353"/>
    <w:rsid w:val="00224445"/>
    <w:rsid w:val="00224B5C"/>
    <w:rsid w:val="00224F44"/>
    <w:rsid w:val="00225A5D"/>
    <w:rsid w:val="00226BDF"/>
    <w:rsid w:val="002277B1"/>
    <w:rsid w:val="002337D6"/>
    <w:rsid w:val="00233D93"/>
    <w:rsid w:val="00234A0C"/>
    <w:rsid w:val="002371EB"/>
    <w:rsid w:val="00241EBE"/>
    <w:rsid w:val="0024333E"/>
    <w:rsid w:val="00243717"/>
    <w:rsid w:val="002440C0"/>
    <w:rsid w:val="00245B4D"/>
    <w:rsid w:val="002467B9"/>
    <w:rsid w:val="0024798E"/>
    <w:rsid w:val="0025157B"/>
    <w:rsid w:val="002576F9"/>
    <w:rsid w:val="00260075"/>
    <w:rsid w:val="00261834"/>
    <w:rsid w:val="002619BA"/>
    <w:rsid w:val="00265F11"/>
    <w:rsid w:val="00271721"/>
    <w:rsid w:val="00271B66"/>
    <w:rsid w:val="00272FCC"/>
    <w:rsid w:val="002737B0"/>
    <w:rsid w:val="00273F6B"/>
    <w:rsid w:val="00276C20"/>
    <w:rsid w:val="00276DE3"/>
    <w:rsid w:val="002831F9"/>
    <w:rsid w:val="00284C43"/>
    <w:rsid w:val="00286737"/>
    <w:rsid w:val="00286E32"/>
    <w:rsid w:val="002903FC"/>
    <w:rsid w:val="00290AE9"/>
    <w:rsid w:val="00290D77"/>
    <w:rsid w:val="00293411"/>
    <w:rsid w:val="00294CF4"/>
    <w:rsid w:val="002A0E99"/>
    <w:rsid w:val="002A2013"/>
    <w:rsid w:val="002A4324"/>
    <w:rsid w:val="002A6531"/>
    <w:rsid w:val="002A680D"/>
    <w:rsid w:val="002A6FBC"/>
    <w:rsid w:val="002A764C"/>
    <w:rsid w:val="002B0CC7"/>
    <w:rsid w:val="002B1465"/>
    <w:rsid w:val="002B181A"/>
    <w:rsid w:val="002B4AE5"/>
    <w:rsid w:val="002B544E"/>
    <w:rsid w:val="002C1B79"/>
    <w:rsid w:val="002C2184"/>
    <w:rsid w:val="002C623E"/>
    <w:rsid w:val="002D2287"/>
    <w:rsid w:val="002D48D5"/>
    <w:rsid w:val="002E0916"/>
    <w:rsid w:val="002E39E0"/>
    <w:rsid w:val="002E5140"/>
    <w:rsid w:val="002E6314"/>
    <w:rsid w:val="002E777E"/>
    <w:rsid w:val="002F14EB"/>
    <w:rsid w:val="002F52E4"/>
    <w:rsid w:val="002F7FC2"/>
    <w:rsid w:val="00300A84"/>
    <w:rsid w:val="00305AB5"/>
    <w:rsid w:val="003069A1"/>
    <w:rsid w:val="003075EB"/>
    <w:rsid w:val="003105A8"/>
    <w:rsid w:val="00311FD1"/>
    <w:rsid w:val="003120D8"/>
    <w:rsid w:val="00312C6D"/>
    <w:rsid w:val="003130AD"/>
    <w:rsid w:val="00314121"/>
    <w:rsid w:val="00316D51"/>
    <w:rsid w:val="0031719D"/>
    <w:rsid w:val="0032081C"/>
    <w:rsid w:val="00320B3C"/>
    <w:rsid w:val="00324E62"/>
    <w:rsid w:val="00330228"/>
    <w:rsid w:val="00333FDE"/>
    <w:rsid w:val="0033492B"/>
    <w:rsid w:val="00334D92"/>
    <w:rsid w:val="00335E4B"/>
    <w:rsid w:val="003369C5"/>
    <w:rsid w:val="00340466"/>
    <w:rsid w:val="003424B5"/>
    <w:rsid w:val="00344434"/>
    <w:rsid w:val="00347BFF"/>
    <w:rsid w:val="00356779"/>
    <w:rsid w:val="00357A3F"/>
    <w:rsid w:val="00361656"/>
    <w:rsid w:val="00361B95"/>
    <w:rsid w:val="00364706"/>
    <w:rsid w:val="00367A68"/>
    <w:rsid w:val="003705DA"/>
    <w:rsid w:val="00372326"/>
    <w:rsid w:val="00374671"/>
    <w:rsid w:val="00375143"/>
    <w:rsid w:val="003758F3"/>
    <w:rsid w:val="003764D1"/>
    <w:rsid w:val="00376C2B"/>
    <w:rsid w:val="00381238"/>
    <w:rsid w:val="00383EF6"/>
    <w:rsid w:val="00384D6E"/>
    <w:rsid w:val="00385012"/>
    <w:rsid w:val="00390867"/>
    <w:rsid w:val="00392963"/>
    <w:rsid w:val="00392ADF"/>
    <w:rsid w:val="00393330"/>
    <w:rsid w:val="00395282"/>
    <w:rsid w:val="00395753"/>
    <w:rsid w:val="00395848"/>
    <w:rsid w:val="00396C9B"/>
    <w:rsid w:val="00396E32"/>
    <w:rsid w:val="00397D83"/>
    <w:rsid w:val="003A7B3F"/>
    <w:rsid w:val="003A7FF4"/>
    <w:rsid w:val="003B07B0"/>
    <w:rsid w:val="003B3106"/>
    <w:rsid w:val="003B6D69"/>
    <w:rsid w:val="003C0707"/>
    <w:rsid w:val="003C68B3"/>
    <w:rsid w:val="003C6AF7"/>
    <w:rsid w:val="003D087E"/>
    <w:rsid w:val="003D11A2"/>
    <w:rsid w:val="003D1AC5"/>
    <w:rsid w:val="003D2EC9"/>
    <w:rsid w:val="003D4ADE"/>
    <w:rsid w:val="003D61DA"/>
    <w:rsid w:val="003E1B22"/>
    <w:rsid w:val="003E24F4"/>
    <w:rsid w:val="003E49F9"/>
    <w:rsid w:val="003E52AF"/>
    <w:rsid w:val="003E6046"/>
    <w:rsid w:val="003E6B49"/>
    <w:rsid w:val="00400033"/>
    <w:rsid w:val="0040188B"/>
    <w:rsid w:val="0040250B"/>
    <w:rsid w:val="00402D09"/>
    <w:rsid w:val="00403B82"/>
    <w:rsid w:val="004057D3"/>
    <w:rsid w:val="00405FC1"/>
    <w:rsid w:val="00410C18"/>
    <w:rsid w:val="00412852"/>
    <w:rsid w:val="00412DE4"/>
    <w:rsid w:val="004224E7"/>
    <w:rsid w:val="00424561"/>
    <w:rsid w:val="00426F9B"/>
    <w:rsid w:val="004308D9"/>
    <w:rsid w:val="00432065"/>
    <w:rsid w:val="00432633"/>
    <w:rsid w:val="00441A78"/>
    <w:rsid w:val="0044437C"/>
    <w:rsid w:val="00445121"/>
    <w:rsid w:val="00447413"/>
    <w:rsid w:val="00450881"/>
    <w:rsid w:val="00450D2E"/>
    <w:rsid w:val="004561C5"/>
    <w:rsid w:val="0046275E"/>
    <w:rsid w:val="00462D57"/>
    <w:rsid w:val="004641E3"/>
    <w:rsid w:val="00464E74"/>
    <w:rsid w:val="00465651"/>
    <w:rsid w:val="00466361"/>
    <w:rsid w:val="00467614"/>
    <w:rsid w:val="00470A9D"/>
    <w:rsid w:val="00474DB7"/>
    <w:rsid w:val="00475548"/>
    <w:rsid w:val="00480377"/>
    <w:rsid w:val="00480E97"/>
    <w:rsid w:val="00483839"/>
    <w:rsid w:val="00486091"/>
    <w:rsid w:val="00487D56"/>
    <w:rsid w:val="00491AC9"/>
    <w:rsid w:val="004A19D8"/>
    <w:rsid w:val="004A1CAB"/>
    <w:rsid w:val="004A5863"/>
    <w:rsid w:val="004B06A6"/>
    <w:rsid w:val="004B3149"/>
    <w:rsid w:val="004B66B2"/>
    <w:rsid w:val="004B77B3"/>
    <w:rsid w:val="004B7FC4"/>
    <w:rsid w:val="004C0DF7"/>
    <w:rsid w:val="004C1297"/>
    <w:rsid w:val="004C14A6"/>
    <w:rsid w:val="004C7A96"/>
    <w:rsid w:val="004D156D"/>
    <w:rsid w:val="004D3BEE"/>
    <w:rsid w:val="004D5654"/>
    <w:rsid w:val="004D663F"/>
    <w:rsid w:val="004D7FD3"/>
    <w:rsid w:val="004E00B8"/>
    <w:rsid w:val="004E1F02"/>
    <w:rsid w:val="004E35AB"/>
    <w:rsid w:val="004E4714"/>
    <w:rsid w:val="004E4B1C"/>
    <w:rsid w:val="004E714D"/>
    <w:rsid w:val="004F1B1A"/>
    <w:rsid w:val="004F37D1"/>
    <w:rsid w:val="004F3A10"/>
    <w:rsid w:val="004F5C00"/>
    <w:rsid w:val="004F6D05"/>
    <w:rsid w:val="004F7CC2"/>
    <w:rsid w:val="004F7FC1"/>
    <w:rsid w:val="00500D59"/>
    <w:rsid w:val="005068EF"/>
    <w:rsid w:val="00507F0F"/>
    <w:rsid w:val="00513D4F"/>
    <w:rsid w:val="00517AFF"/>
    <w:rsid w:val="00520C1D"/>
    <w:rsid w:val="0052351F"/>
    <w:rsid w:val="00524B79"/>
    <w:rsid w:val="00531E5C"/>
    <w:rsid w:val="00532BA7"/>
    <w:rsid w:val="00534CF9"/>
    <w:rsid w:val="00534F43"/>
    <w:rsid w:val="00540865"/>
    <w:rsid w:val="00541643"/>
    <w:rsid w:val="00541B7E"/>
    <w:rsid w:val="00543A63"/>
    <w:rsid w:val="005449D8"/>
    <w:rsid w:val="00545869"/>
    <w:rsid w:val="00547408"/>
    <w:rsid w:val="00552A36"/>
    <w:rsid w:val="00554745"/>
    <w:rsid w:val="0055605D"/>
    <w:rsid w:val="005569A4"/>
    <w:rsid w:val="00557209"/>
    <w:rsid w:val="00560032"/>
    <w:rsid w:val="00561393"/>
    <w:rsid w:val="00562A7B"/>
    <w:rsid w:val="005671B4"/>
    <w:rsid w:val="005674C0"/>
    <w:rsid w:val="00570C66"/>
    <w:rsid w:val="0057179B"/>
    <w:rsid w:val="00576267"/>
    <w:rsid w:val="00577FA0"/>
    <w:rsid w:val="00580C7F"/>
    <w:rsid w:val="0058181B"/>
    <w:rsid w:val="005851FF"/>
    <w:rsid w:val="00587F80"/>
    <w:rsid w:val="00590C03"/>
    <w:rsid w:val="00593B71"/>
    <w:rsid w:val="00597935"/>
    <w:rsid w:val="005A0F9F"/>
    <w:rsid w:val="005A4B06"/>
    <w:rsid w:val="005B1B34"/>
    <w:rsid w:val="005B2B3E"/>
    <w:rsid w:val="005C64C3"/>
    <w:rsid w:val="005C6FD0"/>
    <w:rsid w:val="005C73EB"/>
    <w:rsid w:val="005D21CA"/>
    <w:rsid w:val="005D2FAE"/>
    <w:rsid w:val="005D381D"/>
    <w:rsid w:val="005D6951"/>
    <w:rsid w:val="005E03A1"/>
    <w:rsid w:val="005E0531"/>
    <w:rsid w:val="005E3285"/>
    <w:rsid w:val="005E4D32"/>
    <w:rsid w:val="005F18D0"/>
    <w:rsid w:val="005F241E"/>
    <w:rsid w:val="005F26B3"/>
    <w:rsid w:val="005F2889"/>
    <w:rsid w:val="005F3AF7"/>
    <w:rsid w:val="00602B57"/>
    <w:rsid w:val="00603E21"/>
    <w:rsid w:val="0060445D"/>
    <w:rsid w:val="006054A7"/>
    <w:rsid w:val="00606EAB"/>
    <w:rsid w:val="006111CC"/>
    <w:rsid w:val="00612CAD"/>
    <w:rsid w:val="0061317D"/>
    <w:rsid w:val="00616AA1"/>
    <w:rsid w:val="0061757F"/>
    <w:rsid w:val="00622173"/>
    <w:rsid w:val="00624B45"/>
    <w:rsid w:val="00625496"/>
    <w:rsid w:val="00625E63"/>
    <w:rsid w:val="0062696F"/>
    <w:rsid w:val="00626D45"/>
    <w:rsid w:val="00631946"/>
    <w:rsid w:val="00632DD7"/>
    <w:rsid w:val="00633439"/>
    <w:rsid w:val="00634BE7"/>
    <w:rsid w:val="00635243"/>
    <w:rsid w:val="006369E1"/>
    <w:rsid w:val="00636F3A"/>
    <w:rsid w:val="00643F3C"/>
    <w:rsid w:val="00646DB0"/>
    <w:rsid w:val="00647E0A"/>
    <w:rsid w:val="00647F50"/>
    <w:rsid w:val="006515EB"/>
    <w:rsid w:val="00651B9F"/>
    <w:rsid w:val="006522ED"/>
    <w:rsid w:val="0065230E"/>
    <w:rsid w:val="006548F3"/>
    <w:rsid w:val="006550D9"/>
    <w:rsid w:val="006567A0"/>
    <w:rsid w:val="00656980"/>
    <w:rsid w:val="006570E3"/>
    <w:rsid w:val="00661943"/>
    <w:rsid w:val="006661B0"/>
    <w:rsid w:val="00670AF4"/>
    <w:rsid w:val="00672237"/>
    <w:rsid w:val="00672896"/>
    <w:rsid w:val="006730DF"/>
    <w:rsid w:val="00674D9D"/>
    <w:rsid w:val="00674EFA"/>
    <w:rsid w:val="0067631B"/>
    <w:rsid w:val="006800E4"/>
    <w:rsid w:val="00682709"/>
    <w:rsid w:val="0068308F"/>
    <w:rsid w:val="00687900"/>
    <w:rsid w:val="0069138A"/>
    <w:rsid w:val="00691D1C"/>
    <w:rsid w:val="00693FF9"/>
    <w:rsid w:val="00695A5B"/>
    <w:rsid w:val="00696E23"/>
    <w:rsid w:val="006A633E"/>
    <w:rsid w:val="006A792E"/>
    <w:rsid w:val="006B3414"/>
    <w:rsid w:val="006B3B22"/>
    <w:rsid w:val="006B614B"/>
    <w:rsid w:val="006B6FFE"/>
    <w:rsid w:val="006C23DC"/>
    <w:rsid w:val="006C57ED"/>
    <w:rsid w:val="006C5A1C"/>
    <w:rsid w:val="006D0FE3"/>
    <w:rsid w:val="006D3347"/>
    <w:rsid w:val="006D5096"/>
    <w:rsid w:val="006D6923"/>
    <w:rsid w:val="006D71D9"/>
    <w:rsid w:val="006D7862"/>
    <w:rsid w:val="006E04C9"/>
    <w:rsid w:val="006E0EFC"/>
    <w:rsid w:val="006E1830"/>
    <w:rsid w:val="006E2D48"/>
    <w:rsid w:val="006E483B"/>
    <w:rsid w:val="006E54B9"/>
    <w:rsid w:val="006E6ADD"/>
    <w:rsid w:val="006F2C29"/>
    <w:rsid w:val="006F39A2"/>
    <w:rsid w:val="00703E3C"/>
    <w:rsid w:val="00704126"/>
    <w:rsid w:val="007041C8"/>
    <w:rsid w:val="007068D5"/>
    <w:rsid w:val="00711FCF"/>
    <w:rsid w:val="00714CBD"/>
    <w:rsid w:val="0071749D"/>
    <w:rsid w:val="00722E08"/>
    <w:rsid w:val="00726F75"/>
    <w:rsid w:val="00732491"/>
    <w:rsid w:val="0073399B"/>
    <w:rsid w:val="00735B3F"/>
    <w:rsid w:val="007404B8"/>
    <w:rsid w:val="00740902"/>
    <w:rsid w:val="00743498"/>
    <w:rsid w:val="007446A2"/>
    <w:rsid w:val="0074511B"/>
    <w:rsid w:val="00747D05"/>
    <w:rsid w:val="00750BE2"/>
    <w:rsid w:val="0075237E"/>
    <w:rsid w:val="00752969"/>
    <w:rsid w:val="00752BBD"/>
    <w:rsid w:val="00753E6F"/>
    <w:rsid w:val="0075441F"/>
    <w:rsid w:val="00755A78"/>
    <w:rsid w:val="00756A30"/>
    <w:rsid w:val="0075758F"/>
    <w:rsid w:val="00757718"/>
    <w:rsid w:val="00760B28"/>
    <w:rsid w:val="00760E1D"/>
    <w:rsid w:val="00764F02"/>
    <w:rsid w:val="00770CAF"/>
    <w:rsid w:val="00771045"/>
    <w:rsid w:val="0077107E"/>
    <w:rsid w:val="00771592"/>
    <w:rsid w:val="007724D8"/>
    <w:rsid w:val="00772B6B"/>
    <w:rsid w:val="00773C18"/>
    <w:rsid w:val="00774254"/>
    <w:rsid w:val="007757AA"/>
    <w:rsid w:val="00776025"/>
    <w:rsid w:val="0078165B"/>
    <w:rsid w:val="00782BFC"/>
    <w:rsid w:val="00785ACB"/>
    <w:rsid w:val="00785DC5"/>
    <w:rsid w:val="00786F66"/>
    <w:rsid w:val="00787486"/>
    <w:rsid w:val="00787981"/>
    <w:rsid w:val="00787DF8"/>
    <w:rsid w:val="00787F8F"/>
    <w:rsid w:val="00790604"/>
    <w:rsid w:val="00791691"/>
    <w:rsid w:val="00792959"/>
    <w:rsid w:val="00792AFA"/>
    <w:rsid w:val="00793A79"/>
    <w:rsid w:val="00794DDF"/>
    <w:rsid w:val="00796747"/>
    <w:rsid w:val="00796C40"/>
    <w:rsid w:val="007A2855"/>
    <w:rsid w:val="007A2BBF"/>
    <w:rsid w:val="007A4D9A"/>
    <w:rsid w:val="007A568E"/>
    <w:rsid w:val="007A590E"/>
    <w:rsid w:val="007A597E"/>
    <w:rsid w:val="007A7AF2"/>
    <w:rsid w:val="007A7D2F"/>
    <w:rsid w:val="007B02F1"/>
    <w:rsid w:val="007B27AB"/>
    <w:rsid w:val="007B6305"/>
    <w:rsid w:val="007B7C9D"/>
    <w:rsid w:val="007C6FBB"/>
    <w:rsid w:val="007C75C5"/>
    <w:rsid w:val="007D32B0"/>
    <w:rsid w:val="007D4BD1"/>
    <w:rsid w:val="007D6E15"/>
    <w:rsid w:val="007D730F"/>
    <w:rsid w:val="007D74AD"/>
    <w:rsid w:val="007E0CBA"/>
    <w:rsid w:val="007E1A75"/>
    <w:rsid w:val="007E315D"/>
    <w:rsid w:val="007E4625"/>
    <w:rsid w:val="007E53E4"/>
    <w:rsid w:val="007E6120"/>
    <w:rsid w:val="007E66D3"/>
    <w:rsid w:val="007F1AA3"/>
    <w:rsid w:val="007F1F96"/>
    <w:rsid w:val="007F24FB"/>
    <w:rsid w:val="007F2702"/>
    <w:rsid w:val="007F2BF5"/>
    <w:rsid w:val="007F3E00"/>
    <w:rsid w:val="007F4460"/>
    <w:rsid w:val="007F5E79"/>
    <w:rsid w:val="007F6790"/>
    <w:rsid w:val="007F7F94"/>
    <w:rsid w:val="008027F3"/>
    <w:rsid w:val="00803856"/>
    <w:rsid w:val="00804852"/>
    <w:rsid w:val="00804BF6"/>
    <w:rsid w:val="008051E0"/>
    <w:rsid w:val="00806BCF"/>
    <w:rsid w:val="008077C8"/>
    <w:rsid w:val="00811BD0"/>
    <w:rsid w:val="00817ABF"/>
    <w:rsid w:val="00820CEE"/>
    <w:rsid w:val="008216AD"/>
    <w:rsid w:val="00821DAE"/>
    <w:rsid w:val="00824F13"/>
    <w:rsid w:val="00827BC0"/>
    <w:rsid w:val="008300D1"/>
    <w:rsid w:val="00831179"/>
    <w:rsid w:val="00834427"/>
    <w:rsid w:val="00840458"/>
    <w:rsid w:val="008435AB"/>
    <w:rsid w:val="00843A45"/>
    <w:rsid w:val="00847D40"/>
    <w:rsid w:val="00850DD9"/>
    <w:rsid w:val="0085389A"/>
    <w:rsid w:val="00863783"/>
    <w:rsid w:val="00865BA4"/>
    <w:rsid w:val="00865E65"/>
    <w:rsid w:val="008676EE"/>
    <w:rsid w:val="00872464"/>
    <w:rsid w:val="00873076"/>
    <w:rsid w:val="008736AC"/>
    <w:rsid w:val="00875546"/>
    <w:rsid w:val="00881D48"/>
    <w:rsid w:val="008825B6"/>
    <w:rsid w:val="008858DF"/>
    <w:rsid w:val="0088774C"/>
    <w:rsid w:val="008904D9"/>
    <w:rsid w:val="0089397A"/>
    <w:rsid w:val="00895986"/>
    <w:rsid w:val="0089623D"/>
    <w:rsid w:val="00897FDB"/>
    <w:rsid w:val="008A32A9"/>
    <w:rsid w:val="008A3B55"/>
    <w:rsid w:val="008B1E99"/>
    <w:rsid w:val="008B5484"/>
    <w:rsid w:val="008B6432"/>
    <w:rsid w:val="008C205F"/>
    <w:rsid w:val="008C2066"/>
    <w:rsid w:val="008C4AF6"/>
    <w:rsid w:val="008C5195"/>
    <w:rsid w:val="008D03BF"/>
    <w:rsid w:val="008D179D"/>
    <w:rsid w:val="008D2D98"/>
    <w:rsid w:val="008D5428"/>
    <w:rsid w:val="008D5991"/>
    <w:rsid w:val="008D59AD"/>
    <w:rsid w:val="008E0CB0"/>
    <w:rsid w:val="008E149C"/>
    <w:rsid w:val="008E23DA"/>
    <w:rsid w:val="008E40F1"/>
    <w:rsid w:val="008E4BF6"/>
    <w:rsid w:val="008E6EAA"/>
    <w:rsid w:val="008F0F3B"/>
    <w:rsid w:val="008F1E40"/>
    <w:rsid w:val="008F1FE5"/>
    <w:rsid w:val="008F2F4F"/>
    <w:rsid w:val="008F3FEE"/>
    <w:rsid w:val="008F4847"/>
    <w:rsid w:val="008F4BA3"/>
    <w:rsid w:val="008F6FEF"/>
    <w:rsid w:val="008F72A9"/>
    <w:rsid w:val="00900EC2"/>
    <w:rsid w:val="00901856"/>
    <w:rsid w:val="0090192E"/>
    <w:rsid w:val="00902112"/>
    <w:rsid w:val="00911CA2"/>
    <w:rsid w:val="00913F12"/>
    <w:rsid w:val="0091424B"/>
    <w:rsid w:val="00914297"/>
    <w:rsid w:val="00914DC8"/>
    <w:rsid w:val="00916ADA"/>
    <w:rsid w:val="009177C6"/>
    <w:rsid w:val="00922037"/>
    <w:rsid w:val="00922314"/>
    <w:rsid w:val="0092542C"/>
    <w:rsid w:val="00925C8C"/>
    <w:rsid w:val="009273E4"/>
    <w:rsid w:val="00930076"/>
    <w:rsid w:val="009303A6"/>
    <w:rsid w:val="00930A1F"/>
    <w:rsid w:val="00931A0B"/>
    <w:rsid w:val="009348FE"/>
    <w:rsid w:val="009357E1"/>
    <w:rsid w:val="00944037"/>
    <w:rsid w:val="00945DCF"/>
    <w:rsid w:val="009501EC"/>
    <w:rsid w:val="00951197"/>
    <w:rsid w:val="0095167F"/>
    <w:rsid w:val="009521B4"/>
    <w:rsid w:val="00954004"/>
    <w:rsid w:val="009553D0"/>
    <w:rsid w:val="0095606A"/>
    <w:rsid w:val="00957482"/>
    <w:rsid w:val="00957915"/>
    <w:rsid w:val="00963028"/>
    <w:rsid w:val="00963924"/>
    <w:rsid w:val="00971366"/>
    <w:rsid w:val="0097358A"/>
    <w:rsid w:val="0097573F"/>
    <w:rsid w:val="0097620D"/>
    <w:rsid w:val="00976D02"/>
    <w:rsid w:val="00977B5D"/>
    <w:rsid w:val="009802DB"/>
    <w:rsid w:val="009832DF"/>
    <w:rsid w:val="009835BE"/>
    <w:rsid w:val="009844A6"/>
    <w:rsid w:val="00986F80"/>
    <w:rsid w:val="0099031D"/>
    <w:rsid w:val="0099129E"/>
    <w:rsid w:val="00993714"/>
    <w:rsid w:val="00993763"/>
    <w:rsid w:val="00993EE3"/>
    <w:rsid w:val="00995087"/>
    <w:rsid w:val="009A0CCC"/>
    <w:rsid w:val="009A1CB7"/>
    <w:rsid w:val="009A5AA7"/>
    <w:rsid w:val="009A5E67"/>
    <w:rsid w:val="009A7C01"/>
    <w:rsid w:val="009B1989"/>
    <w:rsid w:val="009B2848"/>
    <w:rsid w:val="009B30C2"/>
    <w:rsid w:val="009B4C47"/>
    <w:rsid w:val="009B6766"/>
    <w:rsid w:val="009C1C90"/>
    <w:rsid w:val="009C527B"/>
    <w:rsid w:val="009D0217"/>
    <w:rsid w:val="009D0F23"/>
    <w:rsid w:val="009D1C9E"/>
    <w:rsid w:val="009D4780"/>
    <w:rsid w:val="009D4EF7"/>
    <w:rsid w:val="009D6833"/>
    <w:rsid w:val="009E27B2"/>
    <w:rsid w:val="009E2DD1"/>
    <w:rsid w:val="009E456B"/>
    <w:rsid w:val="009F0577"/>
    <w:rsid w:val="009F2B15"/>
    <w:rsid w:val="00A00ABC"/>
    <w:rsid w:val="00A0210E"/>
    <w:rsid w:val="00A021DD"/>
    <w:rsid w:val="00A031F2"/>
    <w:rsid w:val="00A04111"/>
    <w:rsid w:val="00A05F38"/>
    <w:rsid w:val="00A061E4"/>
    <w:rsid w:val="00A0678D"/>
    <w:rsid w:val="00A07AA2"/>
    <w:rsid w:val="00A12817"/>
    <w:rsid w:val="00A15A9C"/>
    <w:rsid w:val="00A15AC0"/>
    <w:rsid w:val="00A20AD9"/>
    <w:rsid w:val="00A21E8B"/>
    <w:rsid w:val="00A25C5C"/>
    <w:rsid w:val="00A264D4"/>
    <w:rsid w:val="00A269B8"/>
    <w:rsid w:val="00A27D3C"/>
    <w:rsid w:val="00A30637"/>
    <w:rsid w:val="00A35004"/>
    <w:rsid w:val="00A35199"/>
    <w:rsid w:val="00A35F3D"/>
    <w:rsid w:val="00A40F82"/>
    <w:rsid w:val="00A42BA2"/>
    <w:rsid w:val="00A45F8C"/>
    <w:rsid w:val="00A46328"/>
    <w:rsid w:val="00A4709C"/>
    <w:rsid w:val="00A5070C"/>
    <w:rsid w:val="00A53364"/>
    <w:rsid w:val="00A57494"/>
    <w:rsid w:val="00A57A24"/>
    <w:rsid w:val="00A602B4"/>
    <w:rsid w:val="00A61077"/>
    <w:rsid w:val="00A62B75"/>
    <w:rsid w:val="00A63D3A"/>
    <w:rsid w:val="00A64DE0"/>
    <w:rsid w:val="00A65651"/>
    <w:rsid w:val="00A661FC"/>
    <w:rsid w:val="00A70793"/>
    <w:rsid w:val="00A74B3D"/>
    <w:rsid w:val="00A74DAC"/>
    <w:rsid w:val="00A77605"/>
    <w:rsid w:val="00A80B8D"/>
    <w:rsid w:val="00A80C61"/>
    <w:rsid w:val="00A8108B"/>
    <w:rsid w:val="00A831FC"/>
    <w:rsid w:val="00A8346E"/>
    <w:rsid w:val="00A83963"/>
    <w:rsid w:val="00A84FF9"/>
    <w:rsid w:val="00A857B5"/>
    <w:rsid w:val="00A85D8F"/>
    <w:rsid w:val="00A87117"/>
    <w:rsid w:val="00A87455"/>
    <w:rsid w:val="00A91568"/>
    <w:rsid w:val="00A917FB"/>
    <w:rsid w:val="00A92691"/>
    <w:rsid w:val="00A95796"/>
    <w:rsid w:val="00AA401F"/>
    <w:rsid w:val="00AA7B70"/>
    <w:rsid w:val="00AB0AB7"/>
    <w:rsid w:val="00AB35AB"/>
    <w:rsid w:val="00AB57E0"/>
    <w:rsid w:val="00AB5E4C"/>
    <w:rsid w:val="00AC1F65"/>
    <w:rsid w:val="00AC399E"/>
    <w:rsid w:val="00AC3FE6"/>
    <w:rsid w:val="00AC596C"/>
    <w:rsid w:val="00AC5A52"/>
    <w:rsid w:val="00AD2E2A"/>
    <w:rsid w:val="00AD2EAF"/>
    <w:rsid w:val="00AD2F50"/>
    <w:rsid w:val="00AD564C"/>
    <w:rsid w:val="00AD6F6F"/>
    <w:rsid w:val="00AD7981"/>
    <w:rsid w:val="00AE0024"/>
    <w:rsid w:val="00AE0D5D"/>
    <w:rsid w:val="00AE21C6"/>
    <w:rsid w:val="00AE4490"/>
    <w:rsid w:val="00AE4982"/>
    <w:rsid w:val="00AE6771"/>
    <w:rsid w:val="00AF024F"/>
    <w:rsid w:val="00AF197F"/>
    <w:rsid w:val="00AF2AA2"/>
    <w:rsid w:val="00AF4339"/>
    <w:rsid w:val="00AF60AA"/>
    <w:rsid w:val="00B00228"/>
    <w:rsid w:val="00B007F1"/>
    <w:rsid w:val="00B010BA"/>
    <w:rsid w:val="00B01C2B"/>
    <w:rsid w:val="00B02EF2"/>
    <w:rsid w:val="00B06426"/>
    <w:rsid w:val="00B07D9F"/>
    <w:rsid w:val="00B11609"/>
    <w:rsid w:val="00B1366C"/>
    <w:rsid w:val="00B1408F"/>
    <w:rsid w:val="00B14347"/>
    <w:rsid w:val="00B17DAC"/>
    <w:rsid w:val="00B217E2"/>
    <w:rsid w:val="00B219A0"/>
    <w:rsid w:val="00B222E3"/>
    <w:rsid w:val="00B23C77"/>
    <w:rsid w:val="00B25561"/>
    <w:rsid w:val="00B302EF"/>
    <w:rsid w:val="00B31EEB"/>
    <w:rsid w:val="00B327F0"/>
    <w:rsid w:val="00B409E0"/>
    <w:rsid w:val="00B41D6D"/>
    <w:rsid w:val="00B42CBF"/>
    <w:rsid w:val="00B43237"/>
    <w:rsid w:val="00B44F8A"/>
    <w:rsid w:val="00B46224"/>
    <w:rsid w:val="00B474CD"/>
    <w:rsid w:val="00B47FA1"/>
    <w:rsid w:val="00B578C3"/>
    <w:rsid w:val="00B57AAA"/>
    <w:rsid w:val="00B622F7"/>
    <w:rsid w:val="00B63205"/>
    <w:rsid w:val="00B6482E"/>
    <w:rsid w:val="00B65F82"/>
    <w:rsid w:val="00B70971"/>
    <w:rsid w:val="00B70E04"/>
    <w:rsid w:val="00B71B72"/>
    <w:rsid w:val="00B71E23"/>
    <w:rsid w:val="00B73B28"/>
    <w:rsid w:val="00B76489"/>
    <w:rsid w:val="00B77127"/>
    <w:rsid w:val="00B77C01"/>
    <w:rsid w:val="00B77C6C"/>
    <w:rsid w:val="00B816BF"/>
    <w:rsid w:val="00B82B6A"/>
    <w:rsid w:val="00B85389"/>
    <w:rsid w:val="00B86756"/>
    <w:rsid w:val="00B90411"/>
    <w:rsid w:val="00B90E67"/>
    <w:rsid w:val="00B91708"/>
    <w:rsid w:val="00B9362E"/>
    <w:rsid w:val="00B949FE"/>
    <w:rsid w:val="00B94FD0"/>
    <w:rsid w:val="00B964A7"/>
    <w:rsid w:val="00BA1A0D"/>
    <w:rsid w:val="00BA2774"/>
    <w:rsid w:val="00BA2B1F"/>
    <w:rsid w:val="00BA39E6"/>
    <w:rsid w:val="00BA5EB6"/>
    <w:rsid w:val="00BB18E8"/>
    <w:rsid w:val="00BB2467"/>
    <w:rsid w:val="00BB266D"/>
    <w:rsid w:val="00BB2973"/>
    <w:rsid w:val="00BB32F9"/>
    <w:rsid w:val="00BB5969"/>
    <w:rsid w:val="00BD367A"/>
    <w:rsid w:val="00BD40E2"/>
    <w:rsid w:val="00BD4691"/>
    <w:rsid w:val="00BD7005"/>
    <w:rsid w:val="00BD7C5E"/>
    <w:rsid w:val="00BE2C04"/>
    <w:rsid w:val="00BE2EEF"/>
    <w:rsid w:val="00BF05DE"/>
    <w:rsid w:val="00BF117D"/>
    <w:rsid w:val="00BF1572"/>
    <w:rsid w:val="00BF1DCA"/>
    <w:rsid w:val="00BF2582"/>
    <w:rsid w:val="00BF5123"/>
    <w:rsid w:val="00BF5693"/>
    <w:rsid w:val="00BF7442"/>
    <w:rsid w:val="00BF774D"/>
    <w:rsid w:val="00C027F4"/>
    <w:rsid w:val="00C02B19"/>
    <w:rsid w:val="00C02F8D"/>
    <w:rsid w:val="00C0460B"/>
    <w:rsid w:val="00C0545B"/>
    <w:rsid w:val="00C1037F"/>
    <w:rsid w:val="00C11B5C"/>
    <w:rsid w:val="00C145DC"/>
    <w:rsid w:val="00C15C84"/>
    <w:rsid w:val="00C20A7F"/>
    <w:rsid w:val="00C20E58"/>
    <w:rsid w:val="00C23683"/>
    <w:rsid w:val="00C258ED"/>
    <w:rsid w:val="00C26161"/>
    <w:rsid w:val="00C27B4E"/>
    <w:rsid w:val="00C27C00"/>
    <w:rsid w:val="00C33ED9"/>
    <w:rsid w:val="00C3429C"/>
    <w:rsid w:val="00C3574C"/>
    <w:rsid w:val="00C357F8"/>
    <w:rsid w:val="00C45B31"/>
    <w:rsid w:val="00C507C4"/>
    <w:rsid w:val="00C559D2"/>
    <w:rsid w:val="00C57B93"/>
    <w:rsid w:val="00C60E54"/>
    <w:rsid w:val="00C622A1"/>
    <w:rsid w:val="00C63830"/>
    <w:rsid w:val="00C63CEE"/>
    <w:rsid w:val="00C63D74"/>
    <w:rsid w:val="00C640C1"/>
    <w:rsid w:val="00C650D2"/>
    <w:rsid w:val="00C663F3"/>
    <w:rsid w:val="00C7056F"/>
    <w:rsid w:val="00C70C94"/>
    <w:rsid w:val="00C712A8"/>
    <w:rsid w:val="00C712BC"/>
    <w:rsid w:val="00C71336"/>
    <w:rsid w:val="00C74E7E"/>
    <w:rsid w:val="00C751A4"/>
    <w:rsid w:val="00C7597F"/>
    <w:rsid w:val="00C760DF"/>
    <w:rsid w:val="00C77B89"/>
    <w:rsid w:val="00C8111F"/>
    <w:rsid w:val="00C81DD6"/>
    <w:rsid w:val="00C8298C"/>
    <w:rsid w:val="00C86A27"/>
    <w:rsid w:val="00C90DFB"/>
    <w:rsid w:val="00C92D10"/>
    <w:rsid w:val="00C96A3F"/>
    <w:rsid w:val="00CA0EE6"/>
    <w:rsid w:val="00CA492D"/>
    <w:rsid w:val="00CA5BD7"/>
    <w:rsid w:val="00CA6738"/>
    <w:rsid w:val="00CA6A47"/>
    <w:rsid w:val="00CB0CF8"/>
    <w:rsid w:val="00CB1B2E"/>
    <w:rsid w:val="00CB3194"/>
    <w:rsid w:val="00CB3D54"/>
    <w:rsid w:val="00CB4923"/>
    <w:rsid w:val="00CB58A6"/>
    <w:rsid w:val="00CB7A71"/>
    <w:rsid w:val="00CC2EC7"/>
    <w:rsid w:val="00CC44C4"/>
    <w:rsid w:val="00CC4AF5"/>
    <w:rsid w:val="00CC6C4A"/>
    <w:rsid w:val="00CD2301"/>
    <w:rsid w:val="00CD2863"/>
    <w:rsid w:val="00CD359B"/>
    <w:rsid w:val="00CD3DF8"/>
    <w:rsid w:val="00CD71B2"/>
    <w:rsid w:val="00CD7515"/>
    <w:rsid w:val="00CD7FED"/>
    <w:rsid w:val="00CE38B1"/>
    <w:rsid w:val="00CE38EC"/>
    <w:rsid w:val="00CE442B"/>
    <w:rsid w:val="00CE5D23"/>
    <w:rsid w:val="00CE672B"/>
    <w:rsid w:val="00CE69B2"/>
    <w:rsid w:val="00CE6D9D"/>
    <w:rsid w:val="00CF0AF8"/>
    <w:rsid w:val="00CF2604"/>
    <w:rsid w:val="00CF34EA"/>
    <w:rsid w:val="00CF3DDB"/>
    <w:rsid w:val="00CF766D"/>
    <w:rsid w:val="00D05A4E"/>
    <w:rsid w:val="00D10678"/>
    <w:rsid w:val="00D10E83"/>
    <w:rsid w:val="00D11163"/>
    <w:rsid w:val="00D113F0"/>
    <w:rsid w:val="00D122DE"/>
    <w:rsid w:val="00D12F73"/>
    <w:rsid w:val="00D13566"/>
    <w:rsid w:val="00D13DCF"/>
    <w:rsid w:val="00D21958"/>
    <w:rsid w:val="00D220FB"/>
    <w:rsid w:val="00D237FE"/>
    <w:rsid w:val="00D245D1"/>
    <w:rsid w:val="00D251CF"/>
    <w:rsid w:val="00D30272"/>
    <w:rsid w:val="00D34416"/>
    <w:rsid w:val="00D415AF"/>
    <w:rsid w:val="00D42B26"/>
    <w:rsid w:val="00D4393A"/>
    <w:rsid w:val="00D4484D"/>
    <w:rsid w:val="00D45B5E"/>
    <w:rsid w:val="00D514CA"/>
    <w:rsid w:val="00D520F7"/>
    <w:rsid w:val="00D53369"/>
    <w:rsid w:val="00D535CA"/>
    <w:rsid w:val="00D53EF7"/>
    <w:rsid w:val="00D53F4E"/>
    <w:rsid w:val="00D5498B"/>
    <w:rsid w:val="00D553B3"/>
    <w:rsid w:val="00D5689B"/>
    <w:rsid w:val="00D57262"/>
    <w:rsid w:val="00D57442"/>
    <w:rsid w:val="00D62C94"/>
    <w:rsid w:val="00D641DD"/>
    <w:rsid w:val="00D64647"/>
    <w:rsid w:val="00D64DAB"/>
    <w:rsid w:val="00D653C2"/>
    <w:rsid w:val="00D6566C"/>
    <w:rsid w:val="00D66A59"/>
    <w:rsid w:val="00D73E38"/>
    <w:rsid w:val="00D74D3E"/>
    <w:rsid w:val="00D75225"/>
    <w:rsid w:val="00D75CCD"/>
    <w:rsid w:val="00D806D0"/>
    <w:rsid w:val="00D80770"/>
    <w:rsid w:val="00D86C80"/>
    <w:rsid w:val="00D90076"/>
    <w:rsid w:val="00D90430"/>
    <w:rsid w:val="00D910D3"/>
    <w:rsid w:val="00D914F6"/>
    <w:rsid w:val="00D92055"/>
    <w:rsid w:val="00D923D1"/>
    <w:rsid w:val="00D943CE"/>
    <w:rsid w:val="00D9554A"/>
    <w:rsid w:val="00D95B65"/>
    <w:rsid w:val="00D9748A"/>
    <w:rsid w:val="00DA00A5"/>
    <w:rsid w:val="00DA0A92"/>
    <w:rsid w:val="00DA0E8D"/>
    <w:rsid w:val="00DA2AD4"/>
    <w:rsid w:val="00DA4CD3"/>
    <w:rsid w:val="00DA58DB"/>
    <w:rsid w:val="00DB0B0F"/>
    <w:rsid w:val="00DB0EC0"/>
    <w:rsid w:val="00DB1062"/>
    <w:rsid w:val="00DB2F88"/>
    <w:rsid w:val="00DB318C"/>
    <w:rsid w:val="00DB4FD7"/>
    <w:rsid w:val="00DC4089"/>
    <w:rsid w:val="00DC4C68"/>
    <w:rsid w:val="00DD0061"/>
    <w:rsid w:val="00DD18E7"/>
    <w:rsid w:val="00DD4542"/>
    <w:rsid w:val="00DD455E"/>
    <w:rsid w:val="00DD5C48"/>
    <w:rsid w:val="00DD7C60"/>
    <w:rsid w:val="00DE1210"/>
    <w:rsid w:val="00DE1479"/>
    <w:rsid w:val="00DE31E8"/>
    <w:rsid w:val="00DE4603"/>
    <w:rsid w:val="00DF1248"/>
    <w:rsid w:val="00DF4815"/>
    <w:rsid w:val="00DF5716"/>
    <w:rsid w:val="00E0056D"/>
    <w:rsid w:val="00E010D5"/>
    <w:rsid w:val="00E02C51"/>
    <w:rsid w:val="00E0359C"/>
    <w:rsid w:val="00E03D2C"/>
    <w:rsid w:val="00E03EFD"/>
    <w:rsid w:val="00E06768"/>
    <w:rsid w:val="00E067CC"/>
    <w:rsid w:val="00E10155"/>
    <w:rsid w:val="00E1086F"/>
    <w:rsid w:val="00E121BB"/>
    <w:rsid w:val="00E132CC"/>
    <w:rsid w:val="00E15ACA"/>
    <w:rsid w:val="00E243E4"/>
    <w:rsid w:val="00E30115"/>
    <w:rsid w:val="00E3328B"/>
    <w:rsid w:val="00E35626"/>
    <w:rsid w:val="00E37A5A"/>
    <w:rsid w:val="00E451F1"/>
    <w:rsid w:val="00E461BD"/>
    <w:rsid w:val="00E4765D"/>
    <w:rsid w:val="00E53E2E"/>
    <w:rsid w:val="00E55F0D"/>
    <w:rsid w:val="00E5746E"/>
    <w:rsid w:val="00E602BF"/>
    <w:rsid w:val="00E60E79"/>
    <w:rsid w:val="00E6141E"/>
    <w:rsid w:val="00E628B3"/>
    <w:rsid w:val="00E62A2D"/>
    <w:rsid w:val="00E63729"/>
    <w:rsid w:val="00E71E78"/>
    <w:rsid w:val="00E74652"/>
    <w:rsid w:val="00E74888"/>
    <w:rsid w:val="00E76654"/>
    <w:rsid w:val="00E76A79"/>
    <w:rsid w:val="00E76BB1"/>
    <w:rsid w:val="00E772E1"/>
    <w:rsid w:val="00E81578"/>
    <w:rsid w:val="00E86DE5"/>
    <w:rsid w:val="00E90221"/>
    <w:rsid w:val="00E93890"/>
    <w:rsid w:val="00E952F5"/>
    <w:rsid w:val="00E95653"/>
    <w:rsid w:val="00EA0F23"/>
    <w:rsid w:val="00EA159A"/>
    <w:rsid w:val="00EA1924"/>
    <w:rsid w:val="00EA2887"/>
    <w:rsid w:val="00EA5D30"/>
    <w:rsid w:val="00EB20C3"/>
    <w:rsid w:val="00EB3067"/>
    <w:rsid w:val="00EB34B2"/>
    <w:rsid w:val="00EB56F6"/>
    <w:rsid w:val="00EB5A7A"/>
    <w:rsid w:val="00EB718A"/>
    <w:rsid w:val="00EB7B58"/>
    <w:rsid w:val="00EC1366"/>
    <w:rsid w:val="00EC4661"/>
    <w:rsid w:val="00EC49E0"/>
    <w:rsid w:val="00EC49FE"/>
    <w:rsid w:val="00EC625A"/>
    <w:rsid w:val="00ED0C1F"/>
    <w:rsid w:val="00ED0FD6"/>
    <w:rsid w:val="00ED117E"/>
    <w:rsid w:val="00ED16CA"/>
    <w:rsid w:val="00ED722C"/>
    <w:rsid w:val="00EE5F93"/>
    <w:rsid w:val="00EE60B3"/>
    <w:rsid w:val="00EE6B50"/>
    <w:rsid w:val="00EE7668"/>
    <w:rsid w:val="00EF1757"/>
    <w:rsid w:val="00EF2831"/>
    <w:rsid w:val="00EF2AAC"/>
    <w:rsid w:val="00EF6085"/>
    <w:rsid w:val="00F01185"/>
    <w:rsid w:val="00F02044"/>
    <w:rsid w:val="00F02351"/>
    <w:rsid w:val="00F02E25"/>
    <w:rsid w:val="00F0416E"/>
    <w:rsid w:val="00F04F23"/>
    <w:rsid w:val="00F07250"/>
    <w:rsid w:val="00F109A0"/>
    <w:rsid w:val="00F118A9"/>
    <w:rsid w:val="00F11DD7"/>
    <w:rsid w:val="00F127F2"/>
    <w:rsid w:val="00F17F8F"/>
    <w:rsid w:val="00F215A7"/>
    <w:rsid w:val="00F238CF"/>
    <w:rsid w:val="00F255A0"/>
    <w:rsid w:val="00F27C9B"/>
    <w:rsid w:val="00F333E7"/>
    <w:rsid w:val="00F43B13"/>
    <w:rsid w:val="00F44A1D"/>
    <w:rsid w:val="00F45095"/>
    <w:rsid w:val="00F470AC"/>
    <w:rsid w:val="00F47619"/>
    <w:rsid w:val="00F52C4F"/>
    <w:rsid w:val="00F5453D"/>
    <w:rsid w:val="00F545AF"/>
    <w:rsid w:val="00F57B22"/>
    <w:rsid w:val="00F60594"/>
    <w:rsid w:val="00F60683"/>
    <w:rsid w:val="00F60733"/>
    <w:rsid w:val="00F62F50"/>
    <w:rsid w:val="00F64726"/>
    <w:rsid w:val="00F671CC"/>
    <w:rsid w:val="00F675D7"/>
    <w:rsid w:val="00F7549E"/>
    <w:rsid w:val="00F7773F"/>
    <w:rsid w:val="00F80F7F"/>
    <w:rsid w:val="00F8203D"/>
    <w:rsid w:val="00F8263B"/>
    <w:rsid w:val="00F83E8F"/>
    <w:rsid w:val="00F84031"/>
    <w:rsid w:val="00F84843"/>
    <w:rsid w:val="00F85296"/>
    <w:rsid w:val="00F852BA"/>
    <w:rsid w:val="00F85844"/>
    <w:rsid w:val="00F85C2C"/>
    <w:rsid w:val="00F879BB"/>
    <w:rsid w:val="00F87F3F"/>
    <w:rsid w:val="00F92145"/>
    <w:rsid w:val="00F9227E"/>
    <w:rsid w:val="00F9229F"/>
    <w:rsid w:val="00F92BD9"/>
    <w:rsid w:val="00F9790B"/>
    <w:rsid w:val="00F97A64"/>
    <w:rsid w:val="00FA0BB9"/>
    <w:rsid w:val="00FA150A"/>
    <w:rsid w:val="00FA1998"/>
    <w:rsid w:val="00FA5779"/>
    <w:rsid w:val="00FA7125"/>
    <w:rsid w:val="00FB0DE0"/>
    <w:rsid w:val="00FB22FC"/>
    <w:rsid w:val="00FB5788"/>
    <w:rsid w:val="00FB68ED"/>
    <w:rsid w:val="00FC0CE6"/>
    <w:rsid w:val="00FC10B2"/>
    <w:rsid w:val="00FC3EC7"/>
    <w:rsid w:val="00FC64B1"/>
    <w:rsid w:val="00FD06E6"/>
    <w:rsid w:val="00FD07BA"/>
    <w:rsid w:val="00FD19D4"/>
    <w:rsid w:val="00FD25C1"/>
    <w:rsid w:val="00FD4F21"/>
    <w:rsid w:val="00FD5171"/>
    <w:rsid w:val="00FD6A2D"/>
    <w:rsid w:val="00FD6DA2"/>
    <w:rsid w:val="00FD74C7"/>
    <w:rsid w:val="00FD7AED"/>
    <w:rsid w:val="00FE1108"/>
    <w:rsid w:val="00FE2253"/>
    <w:rsid w:val="00FE226B"/>
    <w:rsid w:val="00FE2FD7"/>
    <w:rsid w:val="00FE51BF"/>
    <w:rsid w:val="00FE63B7"/>
    <w:rsid w:val="00FF093F"/>
    <w:rsid w:val="00FF271A"/>
    <w:rsid w:val="00FF2FCE"/>
    <w:rsid w:val="00FF5A56"/>
    <w:rsid w:val="00FF69DA"/>
    <w:rsid w:val="0D74280B"/>
    <w:rsid w:val="0E5B6625"/>
    <w:rsid w:val="15995A08"/>
    <w:rsid w:val="1F5D2A66"/>
    <w:rsid w:val="222665A8"/>
    <w:rsid w:val="243418C8"/>
    <w:rsid w:val="25365F10"/>
    <w:rsid w:val="25E31277"/>
    <w:rsid w:val="273B3EE6"/>
    <w:rsid w:val="281517CA"/>
    <w:rsid w:val="2F9A7EEF"/>
    <w:rsid w:val="386C12AB"/>
    <w:rsid w:val="40881039"/>
    <w:rsid w:val="5F133C22"/>
    <w:rsid w:val="62065328"/>
    <w:rsid w:val="6FBB4F23"/>
    <w:rsid w:val="7D395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005正文"/>
    <w:basedOn w:val="1"/>
    <w:link w:val="13"/>
    <w:qFormat/>
    <w:uiPriority w:val="0"/>
    <w:pPr>
      <w:spacing w:before="50" w:beforeLines="50" w:after="50" w:afterLines="50" w:line="360" w:lineRule="auto"/>
      <w:ind w:firstLine="200" w:firstLineChars="200"/>
    </w:pPr>
    <w:rPr>
      <w:sz w:val="24"/>
      <w:szCs w:val="22"/>
    </w:rPr>
  </w:style>
  <w:style w:type="character" w:customStyle="1" w:styleId="13">
    <w:name w:val="005正文 Char"/>
    <w:link w:val="12"/>
    <w:qFormat/>
    <w:uiPriority w:val="0"/>
    <w:rPr>
      <w:rFonts w:ascii="Times New Roman" w:hAnsi="Times New Roman" w:eastAsia="宋体" w:cs="Times New Roman"/>
      <w:sz w:val="24"/>
    </w:rPr>
  </w:style>
  <w:style w:type="paragraph" w:styleId="14">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15">
    <w:name w:val="0招股6正文"/>
    <w:link w:val="16"/>
    <w:qFormat/>
    <w:uiPriority w:val="0"/>
    <w:pPr>
      <w:spacing w:before="156" w:beforeLines="50" w:after="156" w:afterLines="50" w:line="360" w:lineRule="auto"/>
      <w:ind w:firstLine="480" w:firstLineChars="200"/>
      <w:jc w:val="both"/>
    </w:pPr>
    <w:rPr>
      <w:rFonts w:ascii="Times New Roman" w:hAnsi="Times New Roman" w:eastAsiaTheme="minorEastAsia" w:cstheme="minorBidi"/>
      <w:kern w:val="2"/>
      <w:sz w:val="24"/>
      <w:szCs w:val="21"/>
      <w:lang w:val="en-US" w:eastAsia="zh-CN" w:bidi="ar-SA"/>
    </w:rPr>
  </w:style>
  <w:style w:type="character" w:customStyle="1" w:styleId="16">
    <w:name w:val="0招股6正文 Char"/>
    <w:link w:val="15"/>
    <w:qFormat/>
    <w:uiPriority w:val="0"/>
    <w:rPr>
      <w:rFonts w:ascii="Times New Roman" w:hAnsi="Times New Roman"/>
      <w:sz w:val="24"/>
      <w:szCs w:val="21"/>
    </w:rPr>
  </w:style>
  <w:style w:type="character" w:customStyle="1" w:styleId="17">
    <w:name w:val="批注文字 Char"/>
    <w:basedOn w:val="8"/>
    <w:link w:val="2"/>
    <w:semiHidden/>
    <w:qFormat/>
    <w:uiPriority w:val="99"/>
    <w:rPr>
      <w:rFonts w:ascii="Times New Roman" w:hAnsi="Times New Roman" w:eastAsia="宋体" w:cs="Times New Roman"/>
      <w:szCs w:val="20"/>
    </w:rPr>
  </w:style>
  <w:style w:type="character" w:customStyle="1" w:styleId="18">
    <w:name w:val="批注主题 Char"/>
    <w:basedOn w:val="17"/>
    <w:link w:val="6"/>
    <w:semiHidden/>
    <w:qFormat/>
    <w:uiPriority w:val="99"/>
    <w:rPr>
      <w:rFonts w:ascii="Times New Roman" w:hAnsi="Times New Roman" w:eastAsia="宋体" w:cs="Times New Roman"/>
      <w:b/>
      <w:bCs/>
      <w:szCs w:val="20"/>
    </w:rPr>
  </w:style>
  <w:style w:type="character" w:customStyle="1" w:styleId="19">
    <w:name w:val="批注框文本 Char"/>
    <w:basedOn w:val="8"/>
    <w:link w:val="3"/>
    <w:semiHidden/>
    <w:qFormat/>
    <w:uiPriority w:val="99"/>
    <w:rPr>
      <w:rFonts w:ascii="Times New Roman" w:hAnsi="Times New Roman" w:eastAsia="宋体" w:cs="Times New Roman"/>
      <w:sz w:val="18"/>
      <w:szCs w:val="18"/>
    </w:rPr>
  </w:style>
  <w:style w:type="character" w:customStyle="1" w:styleId="20">
    <w:name w:val="无 A"/>
    <w:semiHidden/>
    <w:qFormat/>
    <w:uiPriority w:val="0"/>
  </w:style>
  <w:style w:type="character" w:customStyle="1" w:styleId="21">
    <w:name w:val="fontstyle01"/>
    <w:basedOn w:val="8"/>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8095</Words>
  <Characters>8473</Characters>
  <Lines>13</Lines>
  <Paragraphs>3</Paragraphs>
  <TotalTime>36</TotalTime>
  <ScaleCrop>false</ScaleCrop>
  <LinksUpToDate>false</LinksUpToDate>
  <CharactersWithSpaces>8687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2024-03-04T08:06:00Z</dcterms:created>
  <dc:creator>weiyao</dc:creator>
  <cp:lastModifiedBy>毛毛 允</cp:lastModifiedBy>
  <dcterms:modified xsi:type="dcterms:W3CDTF">2025-11-28T09:23:39Z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54D9C104414448CB9EBBA3EA9663F3C5_13</vt:lpwstr>
  </property>
  <property fmtid="{D5CDD505-2E9C-101B-9397-08002B2CF9AE}" pid="4" name="KSOTemplateDocerSaveRecord">
    <vt:lpwstr>eyJoZGlkIjoiOTZlMjk2MTVlZmVjOWZjMTYyNTQ4Y2RmOGEyNzM1MWQiLCJ1c2VySWQiOiI0ODQxNDE3NjgifQ==</vt:lpwstr>
  </property>
</Properties>
</file>