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lang w:val="en-US" w:eastAsia="zh-CN"/>
              </w:rPr>
              <w:t>路演活动</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sym w:font="Wingdings 2" w:char="0052"/>
            </w:r>
            <w:r>
              <w:rPr>
                <w:rFonts w:hint="eastAsia" w:ascii="Times New Roman" w:hAnsi="Times New Roman" w:eastAsia="宋体"/>
                <w:sz w:val="24"/>
                <w:szCs w:val="24"/>
                <w:lang w:val="en-US" w:eastAsia="zh-CN"/>
              </w:rPr>
              <w:t>其他</w:t>
            </w:r>
            <w:r>
              <w:rPr>
                <w:rFonts w:hint="eastAsia" w:ascii="Times New Roman" w:hAnsi="Times New Roman"/>
                <w:sz w:val="24"/>
                <w:szCs w:val="24"/>
                <w:lang w:val="en-US" w:eastAsia="zh-CN"/>
              </w:rPr>
              <w:t xml:space="preserve"> 投资者日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color w:val="000000"/>
                <w:sz w:val="24"/>
                <w:szCs w:val="24"/>
                <w:shd w:val="clear"/>
                <w:lang w:val="en-US" w:eastAsia="zh-CN"/>
              </w:rPr>
              <w:t>52</w:t>
            </w:r>
            <w:r>
              <w:rPr>
                <w:rFonts w:hint="eastAsia" w:ascii="Times New Roman" w:hAnsi="Times New Roman" w:eastAsia="宋体"/>
                <w:color w:val="000000"/>
                <w:sz w:val="24"/>
                <w:szCs w:val="24"/>
                <w:shd w:val="clear"/>
              </w:rPr>
              <w:t>家机构</w:t>
            </w:r>
            <w:r>
              <w:rPr>
                <w:rFonts w:hint="eastAsia"/>
                <w:color w:val="000000"/>
                <w:sz w:val="24"/>
                <w:szCs w:val="24"/>
                <w:shd w:val="clear"/>
                <w:lang w:val="en-US" w:eastAsia="zh-CN"/>
              </w:rPr>
              <w:t>86</w:t>
            </w:r>
            <w:r>
              <w:rPr>
                <w:rFonts w:hint="eastAsia" w:ascii="Times New Roman" w:hAnsi="Times New Roman" w:eastAsia="宋体"/>
                <w:color w:val="000000"/>
                <w:sz w:val="24"/>
                <w:szCs w:val="24"/>
                <w:shd w:val="clear"/>
              </w:rPr>
              <w:t>人次</w:t>
            </w:r>
            <w:r>
              <w:rPr>
                <w:rFonts w:hint="eastAsia" w:ascii="Times New Roman" w:hAnsi="Times New Roman" w:eastAsia="宋体"/>
                <w:sz w:val="24"/>
                <w:szCs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ascii="Times New Roman" w:hAnsi="Times New Roman" w:eastAsia="宋体"/>
                <w:sz w:val="24"/>
                <w:szCs w:val="24"/>
              </w:rPr>
            </w:pPr>
            <w:r>
              <w:rPr>
                <w:rFonts w:hint="eastAsia" w:ascii="Times New Roman" w:hAnsi="Times New Roman" w:eastAsia="宋体"/>
                <w:sz w:val="24"/>
                <w:szCs w:val="24"/>
              </w:rPr>
              <w:t>202</w:t>
            </w:r>
            <w:r>
              <w:rPr>
                <w:rFonts w:hint="eastAsia"/>
                <w:sz w:val="24"/>
                <w:szCs w:val="24"/>
                <w:lang w:val="en-US" w:eastAsia="zh-CN"/>
              </w:rPr>
              <w:t>5</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1</w:t>
            </w:r>
            <w:r>
              <w:rPr>
                <w:rFonts w:hint="eastAsia" w:ascii="Times New Roman" w:hAnsi="Times New Roman"/>
                <w:sz w:val="24"/>
                <w:szCs w:val="24"/>
                <w:lang w:val="en-US" w:eastAsia="zh-CN"/>
              </w:rPr>
              <w:t>1</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sz w:val="24"/>
                <w:szCs w:val="24"/>
                <w:lang w:val="en-US" w:eastAsia="zh-CN"/>
              </w:rPr>
              <w:t>7</w:t>
            </w:r>
            <w:r>
              <w:rPr>
                <w:rFonts w:ascii="Times New Roman" w:hAnsi="Times New Roman"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sz w:val="24"/>
                <w:szCs w:val="24"/>
                <w:lang w:val="en-US" w:eastAsia="zh-CN"/>
              </w:rPr>
              <w:t>上海</w:t>
            </w:r>
            <w:r>
              <w:rPr>
                <w:rFonts w:hint="eastAsia" w:ascii="Times New Roman" w:hAnsi="Times New Roman"/>
                <w:sz w:val="24"/>
                <w:szCs w:val="24"/>
                <w:lang w:val="en-US" w:eastAsia="zh-CN"/>
              </w:rPr>
              <w:t>传音</w:t>
            </w:r>
            <w:r>
              <w:rPr>
                <w:rFonts w:hint="eastAsia"/>
                <w:sz w:val="24"/>
                <w:szCs w:val="24"/>
                <w:lang w:val="en-US" w:eastAsia="zh-CN"/>
              </w:rPr>
              <w:t>控股大楼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w:t>
            </w:r>
            <w:r>
              <w:rPr>
                <w:rFonts w:hint="eastAsia" w:ascii="Times New Roman" w:hAnsi="Times New Roman"/>
                <w:sz w:val="24"/>
                <w:szCs w:val="24"/>
                <w:lang w:val="en-US" w:eastAsia="zh-CN"/>
              </w:rPr>
              <w:t xml:space="preserve">  董事、副总经理  张祺</w:t>
            </w:r>
          </w:p>
          <w:p>
            <w:pPr>
              <w:adjustRightInd w:val="0"/>
              <w:spacing w:line="360" w:lineRule="auto"/>
              <w:contextualSpacing/>
              <w:rPr>
                <w:rFonts w:hint="default" w:ascii="Times New Roman" w:hAnsi="Times New Roman" w:eastAsia="宋体"/>
                <w:sz w:val="24"/>
                <w:szCs w:val="24"/>
                <w:lang w:val="en-US"/>
              </w:rPr>
            </w:pPr>
            <w:r>
              <w:rPr>
                <w:rFonts w:hint="eastAsia" w:ascii="Times New Roman" w:hAnsi="Times New Roman" w:eastAsia="宋体"/>
                <w:sz w:val="24"/>
                <w:szCs w:val="24"/>
              </w:rPr>
              <w:t xml:space="preserve">传音控股  </w:t>
            </w:r>
            <w:bookmarkStart w:id="0" w:name="_GoBack"/>
            <w:bookmarkEnd w:id="0"/>
            <w:r>
              <w:rPr>
                <w:rFonts w:hint="eastAsia" w:ascii="Times New Roman" w:hAnsi="Times New Roman"/>
                <w:sz w:val="24"/>
                <w:szCs w:val="24"/>
                <w:lang w:val="en-US" w:eastAsia="zh-CN"/>
              </w:rPr>
              <w:t xml:space="preserve">董事  严孟   </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 xml:space="preserve">传音控股  </w:t>
            </w:r>
            <w:r>
              <w:rPr>
                <w:rFonts w:hint="eastAsia" w:ascii="Times New Roman" w:hAnsi="Times New Roman"/>
                <w:sz w:val="24"/>
                <w:szCs w:val="24"/>
                <w:lang w:val="en-US" w:eastAsia="zh-CN"/>
              </w:rPr>
              <w:t>手机负责人 哈乐</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 xml:space="preserve">传音控股  </w:t>
            </w:r>
            <w:r>
              <w:rPr>
                <w:rFonts w:hint="eastAsia" w:ascii="Times New Roman" w:hAnsi="Times New Roman"/>
                <w:sz w:val="24"/>
                <w:szCs w:val="24"/>
                <w:lang w:val="en-US" w:eastAsia="zh-CN"/>
              </w:rPr>
              <w:t>副总经理  王海滨</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 xml:space="preserve">传音控股  </w:t>
            </w:r>
            <w:r>
              <w:rPr>
                <w:rFonts w:hint="eastAsia" w:ascii="Times New Roman" w:hAnsi="Times New Roman"/>
                <w:sz w:val="24"/>
                <w:szCs w:val="24"/>
                <w:lang w:val="en-US" w:eastAsia="zh-CN"/>
              </w:rPr>
              <w:t>移动互联总裁  向海龙</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传音控股  投资者关系总监</w:t>
            </w:r>
            <w:r>
              <w:rPr>
                <w:rFonts w:hint="eastAsia"/>
                <w:sz w:val="24"/>
                <w:szCs w:val="24"/>
                <w:lang w:val="en-US" w:eastAsia="zh-CN"/>
              </w:rPr>
              <w:t xml:space="preserve">  </w:t>
            </w:r>
            <w:r>
              <w:rPr>
                <w:rFonts w:hint="eastAsia" w:ascii="Times New Roman" w:hAnsi="Times New Roman" w:eastAsia="宋体"/>
                <w:sz w:val="24"/>
                <w:szCs w:val="24"/>
              </w:rPr>
              <w:t>梓轩</w:t>
            </w:r>
          </w:p>
          <w:p>
            <w:pPr>
              <w:adjustRightInd w:val="0"/>
              <w:spacing w:line="360" w:lineRule="auto"/>
              <w:contextualSpacing/>
              <w:rPr>
                <w:rFonts w:hint="eastAsia" w:ascii="Times New Roman" w:hAnsi="Times New Roman" w:eastAsia="宋体"/>
                <w:sz w:val="24"/>
                <w:szCs w:val="24"/>
              </w:rPr>
            </w:pPr>
            <w:r>
              <w:rPr>
                <w:rFonts w:hint="eastAsia" w:ascii="Times New Roman" w:hAnsi="Times New Roman" w:eastAsia="宋体"/>
                <w:sz w:val="24"/>
                <w:szCs w:val="24"/>
              </w:rPr>
              <w:t>传音控股  投资者关系经理</w:t>
            </w:r>
            <w:r>
              <w:rPr>
                <w:rFonts w:hint="eastAsia"/>
                <w:sz w:val="24"/>
                <w:szCs w:val="24"/>
                <w:lang w:val="en-US" w:eastAsia="zh-CN"/>
              </w:rPr>
              <w:t xml:space="preserve">  </w:t>
            </w:r>
            <w:r>
              <w:rPr>
                <w:rFonts w:hint="eastAsia" w:ascii="Times New Roman" w:hAnsi="Times New Roman" w:eastAsia="宋体"/>
                <w:sz w:val="24"/>
                <w:szCs w:val="24"/>
              </w:rPr>
              <w:t>江凤玲</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传音控股  投资者关系</w:t>
            </w:r>
            <w:r>
              <w:rPr>
                <w:rFonts w:hint="eastAsia"/>
                <w:sz w:val="24"/>
                <w:szCs w:val="24"/>
                <w:lang w:val="en-US" w:eastAsia="zh-CN"/>
              </w:rPr>
              <w:t>主管  吕天赐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numPr>
                <w:ilvl w:val="-1"/>
                <w:numId w:val="0"/>
              </w:numPr>
              <w:spacing w:line="360" w:lineRule="auto"/>
              <w:rPr>
                <w:rFonts w:hint="eastAsia" w:ascii="Times New Roman" w:hAnsi="Times New Roman" w:eastAsia="宋体"/>
                <w:sz w:val="24"/>
                <w:szCs w:val="24"/>
                <w:lang w:val="en-US" w:eastAsia="zh-CN"/>
              </w:rPr>
            </w:pPr>
            <w:r>
              <w:rPr>
                <w:rFonts w:hint="eastAsia" w:ascii="Times New Roman" w:hAnsi="Times New Roman"/>
                <w:b/>
                <w:sz w:val="24"/>
                <w:szCs w:val="24"/>
                <w:lang w:val="en-US" w:eastAsia="zh-CN"/>
              </w:rPr>
              <w:t>互动</w:t>
            </w:r>
            <w:r>
              <w:rPr>
                <w:rFonts w:hint="eastAsia" w:ascii="Times New Roman" w:hAnsi="Times New Roman" w:eastAsia="宋体"/>
                <w:b/>
                <w:sz w:val="24"/>
                <w:szCs w:val="24"/>
              </w:rPr>
              <w:t>问答</w:t>
            </w:r>
            <w:r>
              <w:rPr>
                <w:rFonts w:hint="default" w:ascii="Times New Roman" w:hAnsi="Times New Roman"/>
                <w:b/>
                <w:sz w:val="24"/>
                <w:szCs w:val="24"/>
                <w:lang w:val="en-US"/>
              </w:rPr>
              <w:t>:</w:t>
            </w: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b/>
                <w:bCs/>
                <w:sz w:val="24"/>
                <w:szCs w:val="24"/>
                <w:lang w:val="en-US" w:eastAsia="zh-CN"/>
              </w:rPr>
              <w:t>如何应对存储涨价，怎么平衡量和份额以及毛利率？</w:t>
            </w:r>
          </w:p>
          <w:p>
            <w:pPr>
              <w:spacing w:line="360" w:lineRule="auto"/>
              <w:ind w:firstLine="480" w:firstLineChars="200"/>
              <w:rPr>
                <w:rFonts w:hint="eastAsia" w:ascii="Times New Roman" w:hAnsi="Times New Roman" w:eastAsia="宋体"/>
                <w:sz w:val="24"/>
                <w:szCs w:val="24"/>
                <w:lang w:val="en-US" w:eastAsia="zh-CN"/>
              </w:rPr>
            </w:pPr>
            <w:r>
              <w:rPr>
                <w:rFonts w:hint="eastAsia"/>
                <w:sz w:val="24"/>
              </w:rPr>
              <w:t>回答：</w:t>
            </w:r>
            <w:r>
              <w:rPr>
                <w:rFonts w:hint="eastAsia" w:ascii="Times New Roman" w:hAnsi="Times New Roman" w:eastAsia="宋体"/>
                <w:sz w:val="24"/>
                <w:szCs w:val="24"/>
                <w:lang w:val="en-US" w:eastAsia="zh-CN"/>
              </w:rPr>
              <w:t>公司会根据上游成本变化、市场竞争情况等，积极采取相应措施应对。在不同市场结合公司的经营策略和市场情况，可能会采取例如产品调价、优化产品结构等措施。公司的毛利率受竞争格局、成本变化、公司策略等因素综合影响，未来我们会根据成本变化和市场竞争等动态做调整，保持财务健康的毛利率水平。</w:t>
            </w:r>
          </w:p>
          <w:p>
            <w:pPr>
              <w:spacing w:line="360" w:lineRule="auto"/>
              <w:ind w:firstLine="480" w:firstLineChars="200"/>
              <w:rPr>
                <w:rFonts w:hint="default" w:ascii="Times New Roman" w:hAnsi="Times New Roman" w:eastAsia="宋体"/>
                <w:sz w:val="24"/>
                <w:szCs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如何看待非洲</w:t>
            </w:r>
            <w:r>
              <w:rPr>
                <w:rFonts w:hint="eastAsia"/>
                <w:b/>
                <w:bCs/>
                <w:sz w:val="24"/>
                <w:szCs w:val="24"/>
                <w:lang w:val="en-US" w:eastAsia="zh-CN"/>
              </w:rPr>
              <w:t>市场</w:t>
            </w:r>
            <w:r>
              <w:rPr>
                <w:rFonts w:hint="default" w:ascii="Times New Roman" w:hAnsi="Times New Roman" w:eastAsia="宋体"/>
                <w:b/>
                <w:bCs/>
                <w:sz w:val="24"/>
                <w:szCs w:val="24"/>
                <w:lang w:val="en-US" w:eastAsia="zh-CN"/>
              </w:rPr>
              <w:t>的竞争?</w:t>
            </w:r>
          </w:p>
          <w:p>
            <w:pPr>
              <w:spacing w:line="360" w:lineRule="auto"/>
              <w:ind w:firstLine="480" w:firstLineChars="200"/>
              <w:rPr>
                <w:rFonts w:hint="default"/>
                <w:sz w:val="24"/>
                <w:lang w:val="en-US" w:eastAsia="zh-CN"/>
              </w:rPr>
            </w:pPr>
            <w:r>
              <w:rPr>
                <w:rFonts w:hint="eastAsia"/>
                <w:sz w:val="24"/>
              </w:rPr>
              <w:t>回答：</w:t>
            </w:r>
            <w:r>
              <w:rPr>
                <w:rFonts w:hint="default"/>
                <w:sz w:val="24"/>
                <w:lang w:val="en-US" w:eastAsia="zh-CN"/>
              </w:rPr>
              <w:t>公司从2019年上市以来，整体上公司在非洲市场较为稳固，非洲智能机市场份额较刚上市当年有所提升，一直排名保持第一。</w:t>
            </w:r>
          </w:p>
          <w:p>
            <w:pPr>
              <w:spacing w:line="360" w:lineRule="auto"/>
              <w:ind w:firstLine="480" w:firstLineChars="200"/>
              <w:rPr>
                <w:rFonts w:hint="default"/>
                <w:sz w:val="24"/>
                <w:lang w:val="en-US" w:eastAsia="zh-CN"/>
              </w:rPr>
            </w:pPr>
            <w:r>
              <w:rPr>
                <w:rFonts w:hint="default"/>
                <w:sz w:val="24"/>
                <w:lang w:val="en-US" w:eastAsia="zh-CN"/>
              </w:rPr>
              <w:t>手机行业的竞争一直比较激烈，各厂商的策略都在动态变化着。非洲是一个综合维度竞争的市场，包括产品力、价格、渠道、售后等等，公司将继续构建非洲市场竞争优势，强化精细化运营和差异化品牌建设，通过体系化能力加固“护城河"，构建面对未来竞争的核心竞争力。</w:t>
            </w:r>
          </w:p>
          <w:p>
            <w:pPr>
              <w:spacing w:line="360" w:lineRule="auto"/>
              <w:ind w:firstLine="480" w:firstLineChars="200"/>
              <w:rPr>
                <w:rFonts w:hint="default"/>
                <w:sz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default" w:ascii="Times New Roman" w:hAnsi="Times New Roman" w:eastAsia="宋体"/>
                <w:b/>
                <w:bCs/>
                <w:sz w:val="24"/>
                <w:szCs w:val="24"/>
                <w:lang w:val="en-US" w:eastAsia="zh-CN"/>
              </w:rPr>
              <w:t>公司在AI端侧</w:t>
            </w:r>
            <w:r>
              <w:rPr>
                <w:rFonts w:hint="eastAsia"/>
                <w:b/>
                <w:bCs/>
                <w:sz w:val="24"/>
                <w:szCs w:val="24"/>
                <w:lang w:val="en-US" w:eastAsia="zh-CN"/>
              </w:rPr>
              <w:t>的</w:t>
            </w:r>
            <w:r>
              <w:rPr>
                <w:rFonts w:hint="default" w:ascii="Times New Roman" w:hAnsi="Times New Roman" w:eastAsia="宋体"/>
                <w:b/>
                <w:bCs/>
                <w:sz w:val="24"/>
                <w:szCs w:val="24"/>
                <w:lang w:val="en-US" w:eastAsia="zh-CN"/>
              </w:rPr>
              <w:t>进展如何？</w:t>
            </w:r>
          </w:p>
          <w:p>
            <w:pPr>
              <w:spacing w:line="360" w:lineRule="auto"/>
              <w:ind w:firstLine="480" w:firstLineChars="200"/>
              <w:rPr>
                <w:rFonts w:hint="eastAsia"/>
                <w:sz w:val="24"/>
              </w:rPr>
            </w:pPr>
            <w:r>
              <w:rPr>
                <w:rFonts w:hint="eastAsia"/>
                <w:sz w:val="24"/>
              </w:rPr>
              <w:t>回答：传音始终关注前沿技术的创新，结合本地化市场用户需求，聚焦关键用户场景，传音旗下TECNO AI和Infinix AI已广泛应用于影像增强、语音助手、AI写作等功能场景，开发了一系列AI辅助功能应用并持续迭代推进系统全面AI化，借助Agent提升用户智能设备移动体验。未来，公司希望推动AI应用和AI终端技术在新兴市场的创新和普及，为消费者带来更优化、更智能的用户体验。</w:t>
            </w:r>
          </w:p>
          <w:p>
            <w:pPr>
              <w:spacing w:line="360" w:lineRule="auto"/>
              <w:ind w:firstLine="480" w:firstLineChars="200"/>
              <w:rPr>
                <w:rFonts w:hint="default"/>
                <w:sz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ascii="Times New Roman" w:hAnsi="Times New Roman"/>
                <w:b/>
                <w:bCs/>
                <w:sz w:val="24"/>
                <w:szCs w:val="24"/>
                <w:lang w:val="en-US" w:eastAsia="zh-CN"/>
              </w:rPr>
              <w:t>公司对</w:t>
            </w:r>
            <w:r>
              <w:rPr>
                <w:rFonts w:hint="eastAsia"/>
                <w:b/>
                <w:bCs/>
                <w:sz w:val="24"/>
                <w:szCs w:val="24"/>
                <w:lang w:val="en-US" w:eastAsia="zh-CN"/>
              </w:rPr>
              <w:t>于</w:t>
            </w:r>
            <w:r>
              <w:rPr>
                <w:rFonts w:hint="eastAsia" w:ascii="Times New Roman" w:hAnsi="Times New Roman"/>
                <w:b/>
                <w:bCs/>
                <w:sz w:val="24"/>
                <w:szCs w:val="24"/>
                <w:lang w:val="en-US" w:eastAsia="zh-CN"/>
              </w:rPr>
              <w:t>未来份额</w:t>
            </w:r>
            <w:r>
              <w:rPr>
                <w:rFonts w:hint="eastAsia"/>
                <w:b/>
                <w:bCs/>
                <w:sz w:val="24"/>
                <w:szCs w:val="24"/>
                <w:lang w:val="en-US" w:eastAsia="zh-CN"/>
              </w:rPr>
              <w:t>和开拓市场</w:t>
            </w:r>
            <w:r>
              <w:rPr>
                <w:rFonts w:hint="eastAsia" w:ascii="Times New Roman" w:hAnsi="Times New Roman"/>
                <w:b/>
                <w:bCs/>
                <w:sz w:val="24"/>
                <w:szCs w:val="24"/>
                <w:lang w:val="en-US" w:eastAsia="zh-CN"/>
              </w:rPr>
              <w:t>的展望</w:t>
            </w:r>
            <w:r>
              <w:rPr>
                <w:rFonts w:hint="eastAsia" w:ascii="Times New Roman" w:hAnsi="Times New Roman" w:eastAsia="宋体"/>
                <w:b/>
                <w:bCs/>
                <w:sz w:val="24"/>
                <w:szCs w:val="24"/>
                <w:lang w:val="en-US" w:eastAsia="zh-CN"/>
              </w:rPr>
              <w:t>？</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回答：公司销售区域主要集中在非洲、南亚、东南亚、中东和拉美等全球新兴市场国家，公司采取多品牌协同拓展新兴市场，并重视新兴市场的可持续发展，努力提升市场份额，保持健康经营。</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w:t>
            </w:r>
          </w:p>
          <w:p>
            <w:pPr>
              <w:rPr>
                <w:rFonts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公司移动互联</w:t>
            </w:r>
            <w:r>
              <w:rPr>
                <w:rFonts w:hint="eastAsia"/>
                <w:b/>
                <w:bCs/>
                <w:sz w:val="24"/>
                <w:szCs w:val="24"/>
                <w:lang w:val="en-US" w:eastAsia="zh-CN"/>
              </w:rPr>
              <w:t>业务的进展和规划</w:t>
            </w:r>
            <w:r>
              <w:rPr>
                <w:rFonts w:hint="eastAsia" w:ascii="Times New Roman" w:hAnsi="Times New Roman"/>
                <w:b/>
                <w:bCs/>
                <w:sz w:val="24"/>
                <w:szCs w:val="24"/>
                <w:lang w:val="en-US" w:eastAsia="zh-CN"/>
              </w:rPr>
              <w:t>？</w:t>
            </w:r>
          </w:p>
          <w:p>
            <w:pPr>
              <w:spacing w:line="360" w:lineRule="auto"/>
              <w:ind w:firstLine="480" w:firstLineChars="200"/>
              <w:rPr>
                <w:sz w:val="24"/>
              </w:rPr>
            </w:pPr>
            <w:r>
              <w:rPr>
                <w:rFonts w:hint="eastAsia"/>
                <w:sz w:val="24"/>
              </w:rPr>
              <w:t>回答：移动互联业务依托公司手机流量基础持续深耕，借助中台能力，赋能用户产品，打造用户产品矩阵，通过不断优化产品体验、拓展生态合作及业务创新，探索适合新兴市场的产品商业模式及用户增长模式，为新兴国家市场的数字化生态建设持续赋能。</w:t>
            </w:r>
          </w:p>
          <w:p>
            <w:pPr>
              <w:spacing w:line="360" w:lineRule="auto"/>
              <w:ind w:firstLine="480" w:firstLineChars="200"/>
              <w:rPr>
                <w:rFonts w:hint="eastAsia"/>
                <w:sz w:val="24"/>
              </w:rPr>
            </w:pPr>
            <w:r>
              <w:rPr>
                <w:rFonts w:hint="eastAsia"/>
                <w:sz w:val="24"/>
              </w:rPr>
              <w:t>在 OS 系统及移动互联网产品服务领域，公司通过洞察市场本地化需求，深耕建设本地化服务和内容合作，并依托于公司市场占有率，形成高流量的应用产品矩阵。公司针对新兴市场存在流量成本高、网络不稳定、带宽低、内存配置低等特点，自主研发了流量节省、弱网网络连接、内存融合、感知调度、本地化小语种语音识别、AI 环境声降噪、AI 声纹降噪、画质增强等技术。同时，公司手机均搭载了基于Android系统平台二次开发、深度定制的手机智能终端操作系统（传音OS），深度洞察新兴市场用户在社交、效率办公、影音等场景体验构建，围绕传音OS，开发了应用商店、广告分发平台、手机管家等应用程序。</w:t>
            </w:r>
          </w:p>
          <w:p>
            <w:pPr>
              <w:spacing w:line="360" w:lineRule="auto"/>
              <w:ind w:firstLine="480" w:firstLineChars="200"/>
              <w:rPr>
                <w:rFonts w:hint="eastAsia"/>
                <w:sz w:val="24"/>
              </w:rPr>
            </w:pPr>
          </w:p>
          <w:p>
            <w:pPr>
              <w:numPr>
                <w:ilvl w:val="0"/>
                <w:numId w:val="1"/>
              </w:numPr>
              <w:spacing w:line="360" w:lineRule="auto"/>
              <w:ind w:firstLine="482" w:firstLineChars="200"/>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公司扩品类业务的进展如何？</w:t>
            </w:r>
          </w:p>
          <w:p>
            <w:pPr>
              <w:spacing w:line="360" w:lineRule="auto"/>
              <w:ind w:firstLine="480" w:firstLineChars="200"/>
              <w:rPr>
                <w:rFonts w:hint="eastAsia"/>
                <w:sz w:val="24"/>
              </w:rPr>
            </w:pPr>
            <w:r>
              <w:rPr>
                <w:rFonts w:hint="eastAsia"/>
                <w:sz w:val="24"/>
              </w:rPr>
              <w:t>回答：公司在非洲手机市场优势地位的基础上，继续加大力度、加快发展扩品类等业务。公司数码配件、家用电器继续多品牌发展策略，通过智能硬件品类生态模式的本地化探索，积极实施多元化战略布局，扩展满足新兴市场消费者需求的智能硬件新品类。</w:t>
            </w:r>
          </w:p>
          <w:p>
            <w:pPr>
              <w:spacing w:line="360" w:lineRule="auto"/>
              <w:ind w:firstLine="480" w:firstLineChars="200"/>
              <w:rPr>
                <w:rFonts w:hint="eastAsia"/>
                <w:sz w:val="24"/>
              </w:rPr>
            </w:pPr>
            <w:r>
              <w:rPr>
                <w:rFonts w:hint="eastAsia"/>
                <w:sz w:val="24"/>
              </w:rPr>
              <w:t>在渠道端，公司深化数字化变革，打造“线下+线上”立体布局，推进重点市场的零售布局，优化电商平台与社交媒体运营。公司加快渠道数字化变革和渠道模式创新，缩短渠道链路以提升运营效率，进一步融合并提升多品类的协同价值，推进扩品类业务生态布局的发展；通过 AIoT 生态的深度整合与渠道高效运营，持续扩大扩品类业务的规模效应与品牌势能，实现公司扩品类业务的健康经营和长期发展，逐步构建AIoT智能生态。</w:t>
            </w:r>
          </w:p>
          <w:p>
            <w:pPr>
              <w:spacing w:line="360" w:lineRule="auto"/>
              <w:rPr>
                <w:rFonts w:hint="eastAsia"/>
                <w:sz w:val="24"/>
                <w:lang w:val="en-US" w:eastAsia="zh-CN"/>
              </w:rPr>
            </w:pPr>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传音AI手机有哪些受消费者认可的功能和优势？</w:t>
            </w:r>
          </w:p>
          <w:p>
            <w:pPr>
              <w:spacing w:line="360" w:lineRule="auto"/>
              <w:ind w:firstLine="480" w:firstLineChars="200"/>
              <w:rPr>
                <w:rFonts w:hint="eastAsia"/>
                <w:sz w:val="24"/>
              </w:rPr>
            </w:pPr>
            <w:r>
              <w:rPr>
                <w:rFonts w:hint="eastAsia"/>
                <w:sz w:val="24"/>
              </w:rPr>
              <w:t>回答：传音专注打造深度本地化的“实用型AI”。传音旗下TECNO AI和Infinix AI同时支持非洲、南亚本地部分小语种，突破低资源语言限制，为当地用户提供本地化智能服务。传音旗下大众消费品牌itel也在推进AI普及方面不断探索，其新品CITY100支持智能问答、实时翻译、拍图解题、日程管理等实用AI服务，帮助大众用户以更低门槛享受智能体验。</w:t>
            </w:r>
          </w:p>
          <w:p>
            <w:pPr>
              <w:spacing w:line="360" w:lineRule="auto"/>
              <w:ind w:firstLine="480" w:firstLineChars="200"/>
              <w:rPr>
                <w:rFonts w:hint="eastAsia" w:eastAsia="宋体"/>
                <w:sz w:val="24"/>
                <w:lang w:val="en-US" w:eastAsia="zh-CN"/>
              </w:rPr>
            </w:pPr>
            <w:r>
              <w:rPr>
                <w:rFonts w:hint="eastAsia"/>
                <w:sz w:val="24"/>
              </w:rPr>
              <w:t>在AI方面，公司积极构建以AI使能多端融合互通、AI端侧应用以及AI的端云协同应用的架构，结合本地化市场用户需求，带来新一代的智慧助手Ella与创新交互体验。未来，公司希望将AI带来的全新体验让全球新兴市场用户更优先快捷地享受到AI与前沿科技所带来的革新体验</w:t>
            </w:r>
            <w:r>
              <w:rPr>
                <w:rFonts w:hint="eastAsia"/>
                <w:sz w:val="24"/>
                <w:lang w:eastAsia="zh-CN"/>
              </w:rPr>
              <w:t>。</w:t>
            </w:r>
          </w:p>
          <w:p>
            <w:pPr>
              <w:numPr>
                <w:ilvl w:val="0"/>
                <w:numId w:val="0"/>
              </w:numPr>
              <w:spacing w:line="360" w:lineRule="auto"/>
              <w:rPr>
                <w:rFonts w:hint="eastAsia" w:ascii="Times New Roman" w:hAnsi="Times New Roman" w:eastAsia="宋体"/>
                <w:b/>
                <w:bCs/>
                <w:sz w:val="24"/>
                <w:szCs w:val="24"/>
                <w:lang w:val="en-US" w:eastAsia="zh-CN"/>
              </w:rPr>
            </w:pPr>
          </w:p>
          <w:p>
            <w:pPr>
              <w:numPr>
                <w:ilvl w:val="0"/>
                <w:numId w:val="1"/>
              </w:numPr>
              <w:spacing w:line="360" w:lineRule="auto"/>
              <w:ind w:firstLine="482" w:firstLineChars="200"/>
              <w:rPr>
                <w:rFonts w:hint="default"/>
                <w:b/>
                <w:bCs/>
                <w:sz w:val="24"/>
                <w:szCs w:val="24"/>
                <w:lang w:val="en-US" w:eastAsia="zh-CN"/>
              </w:rPr>
            </w:pPr>
            <w:r>
              <w:rPr>
                <w:rFonts w:hint="eastAsia"/>
                <w:b/>
                <w:bCs/>
                <w:sz w:val="24"/>
                <w:szCs w:val="24"/>
                <w:lang w:val="en-US" w:eastAsia="zh-CN"/>
              </w:rPr>
              <w:t>公司对于研发投入的未来展望，是否会加大投入以保障中高端业务进展？</w:t>
            </w:r>
          </w:p>
          <w:p>
            <w:pPr>
              <w:spacing w:line="360" w:lineRule="auto"/>
              <w:ind w:firstLine="480" w:firstLineChars="200"/>
              <w:rPr>
                <w:rFonts w:hint="default" w:eastAsia="宋体"/>
                <w:sz w:val="24"/>
                <w:lang w:val="en-US" w:eastAsia="zh-CN"/>
              </w:rPr>
            </w:pPr>
            <w:r>
              <w:rPr>
                <w:rFonts w:hint="eastAsia"/>
                <w:sz w:val="24"/>
              </w:rPr>
              <w:t>回答：</w:t>
            </w:r>
            <w:r>
              <w:rPr>
                <w:rFonts w:hint="eastAsia" w:eastAsia="宋体"/>
                <w:sz w:val="24"/>
              </w:rPr>
              <w:t>公司</w:t>
            </w:r>
            <w:r>
              <w:rPr>
                <w:rFonts w:hint="eastAsia"/>
                <w:sz w:val="24"/>
                <w:lang w:val="en-US" w:eastAsia="zh-CN"/>
              </w:rPr>
              <w:t>将</w:t>
            </w:r>
            <w:r>
              <w:rPr>
                <w:rFonts w:hint="eastAsia" w:eastAsia="宋体"/>
                <w:sz w:val="24"/>
              </w:rPr>
              <w:t>持续以用户价值为导向，重视中高端体验，提升产品口碑</w:t>
            </w:r>
            <w:r>
              <w:rPr>
                <w:rFonts w:hint="eastAsia"/>
                <w:sz w:val="24"/>
                <w:lang w:eastAsia="zh-CN"/>
              </w:rPr>
              <w:t>，</w:t>
            </w:r>
            <w:r>
              <w:rPr>
                <w:rFonts w:hint="eastAsia"/>
                <w:sz w:val="24"/>
                <w:lang w:val="en-US" w:eastAsia="zh-CN"/>
              </w:rPr>
              <w:t>并</w:t>
            </w:r>
            <w:r>
              <w:rPr>
                <w:rFonts w:hint="eastAsia" w:eastAsia="宋体"/>
                <w:sz w:val="24"/>
              </w:rPr>
              <w:t>持续加大中高端和研发资源投入，强化中高端产品价值点选择</w:t>
            </w:r>
            <w:r>
              <w:rPr>
                <w:rFonts w:hint="eastAsia"/>
                <w:sz w:val="24"/>
                <w:lang w:val="en-US" w:eastAsia="zh-CN"/>
              </w:rPr>
              <w:t>。</w:t>
            </w:r>
          </w:p>
          <w:p>
            <w:pPr>
              <w:spacing w:line="360" w:lineRule="auto"/>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附件一《与会清单》</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r>
        <w:rPr>
          <w:rFonts w:hint="eastAsia" w:ascii="Times New Roman" w:hAnsi="Times New Roman" w:eastAsia="宋体"/>
          <w:sz w:val="24"/>
          <w:szCs w:val="24"/>
        </w:rPr>
        <w:t>附件一《与会清单》</w:t>
      </w:r>
    </w:p>
    <w:tbl>
      <w:tblPr>
        <w:tblStyle w:val="19"/>
        <w:tblW w:w="8678"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65"/>
        <w:gridCol w:w="4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公司名称</w:t>
            </w:r>
          </w:p>
        </w:tc>
        <w:tc>
          <w:tcPr>
            <w:tcW w:w="4413"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中信保诚基金管理有限公司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诺安基金管理有限公司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中泰证券股份有限公司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中欧基金管理有限公司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中国平安保险(集团)股份有限公司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摩根大通证券(中国)有限公司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中国国际金融股份有限公司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浙江农资集团投资发展有限公司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君和资本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景顺长城基金管理有限公司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远信资本投资管理有限公司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交银施罗德基金管理有限公司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永赢基金管理有限公司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嘉实基金管理有限公司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银河基金管理有限公司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汇添富基金管理股份有限公司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240" w:firstLineChars="10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兴证全球基金管理有限公司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华源证券股份有限公司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万家基金管理有限公司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国投瑞银基金管理有限公司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天弘基金管理有限公司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国泰基金管理有限公司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泰康基金管理有限公司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国盛证券有限责任公司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深圳市德远投资有限公司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国联民生证券股份有限公司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申万菱信基金管理有限公司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国海证券股份有限公司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申万宏源证券有限公司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广发证券股份有限公司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上海弥远投资管理有限公司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广发基金管理有限公司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上海聆泽私募基金管理有限公司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广东正圆私募基金管理有限公司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上海东方证券资产管理有限公司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工银安盛人寿保险有限公司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陕西方德磐石私募基金管理有限公司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富国基金管理有限公司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睿远基金管理有限公司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瑞银证券有限责任公司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淡水泉(香港)投资管理有限公司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浦银国际控股有限公司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博时基金管理有限公司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浦银安盛基金管理有限公司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北京才誉资产管理企业(有限合伙)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平安资产管理有限责任公司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3W基金管理有限公司</w:t>
            </w:r>
          </w:p>
        </w:tc>
      </w:tr>
    </w:tbl>
    <w:p>
      <w:pPr>
        <w:widowControl/>
        <w:textAlignment w:val="center"/>
        <w:rPr>
          <w:rFonts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13D68"/>
    <w:multiLevelType w:val="singleLevel"/>
    <w:tmpl w:val="68913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4799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0BCA"/>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454F"/>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74365"/>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4F9"/>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B43"/>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74"/>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0A50AF"/>
    <w:rsid w:val="0326560C"/>
    <w:rsid w:val="03273186"/>
    <w:rsid w:val="03603191"/>
    <w:rsid w:val="039C24E7"/>
    <w:rsid w:val="03C47950"/>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8114D"/>
    <w:rsid w:val="0A1B3FE9"/>
    <w:rsid w:val="0A4F4FC7"/>
    <w:rsid w:val="0AA36C03"/>
    <w:rsid w:val="0AC4111E"/>
    <w:rsid w:val="0B325FCD"/>
    <w:rsid w:val="0B594E05"/>
    <w:rsid w:val="0B7864F0"/>
    <w:rsid w:val="0B991C77"/>
    <w:rsid w:val="0BF14670"/>
    <w:rsid w:val="0C146EE5"/>
    <w:rsid w:val="0C8B3306"/>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8F389E"/>
    <w:rsid w:val="12980BD0"/>
    <w:rsid w:val="12BD5C5A"/>
    <w:rsid w:val="12C70E0E"/>
    <w:rsid w:val="12C7439F"/>
    <w:rsid w:val="12C746C0"/>
    <w:rsid w:val="12FF22F4"/>
    <w:rsid w:val="132F268B"/>
    <w:rsid w:val="13350F33"/>
    <w:rsid w:val="13611518"/>
    <w:rsid w:val="137A29AA"/>
    <w:rsid w:val="13882C8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330372"/>
    <w:rsid w:val="154060E0"/>
    <w:rsid w:val="154757C0"/>
    <w:rsid w:val="1563062B"/>
    <w:rsid w:val="15706FB9"/>
    <w:rsid w:val="15ED1C29"/>
    <w:rsid w:val="165D1929"/>
    <w:rsid w:val="16665CC6"/>
    <w:rsid w:val="169A775C"/>
    <w:rsid w:val="16BD6C48"/>
    <w:rsid w:val="16DA4037"/>
    <w:rsid w:val="16DE49B6"/>
    <w:rsid w:val="16F81F7D"/>
    <w:rsid w:val="17072843"/>
    <w:rsid w:val="170C2C08"/>
    <w:rsid w:val="170C4E94"/>
    <w:rsid w:val="1746396E"/>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A7B0CB0"/>
    <w:rsid w:val="1B4E0767"/>
    <w:rsid w:val="1B5C3F43"/>
    <w:rsid w:val="1B7826CE"/>
    <w:rsid w:val="1B945D91"/>
    <w:rsid w:val="1B9E5159"/>
    <w:rsid w:val="1BC91883"/>
    <w:rsid w:val="1BD531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B6428"/>
    <w:rsid w:val="1F364149"/>
    <w:rsid w:val="1F4D5F3F"/>
    <w:rsid w:val="1F8C5304"/>
    <w:rsid w:val="1FAA503E"/>
    <w:rsid w:val="1FCD20DB"/>
    <w:rsid w:val="1FDA3DD1"/>
    <w:rsid w:val="201255EF"/>
    <w:rsid w:val="2030732B"/>
    <w:rsid w:val="20637C18"/>
    <w:rsid w:val="20A27E4D"/>
    <w:rsid w:val="20BD77E2"/>
    <w:rsid w:val="20F3560A"/>
    <w:rsid w:val="2115718C"/>
    <w:rsid w:val="218263D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3CAE"/>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50BA5"/>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A77C8F"/>
    <w:rsid w:val="2EF71A09"/>
    <w:rsid w:val="2F234232"/>
    <w:rsid w:val="2F2B624F"/>
    <w:rsid w:val="2F2E56CD"/>
    <w:rsid w:val="2F397E48"/>
    <w:rsid w:val="2F5D1B76"/>
    <w:rsid w:val="2F67032B"/>
    <w:rsid w:val="2F676E4C"/>
    <w:rsid w:val="2F7C4C32"/>
    <w:rsid w:val="2F8501F3"/>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2D4722"/>
    <w:rsid w:val="38531C34"/>
    <w:rsid w:val="386D18AB"/>
    <w:rsid w:val="38894CCC"/>
    <w:rsid w:val="38A338F9"/>
    <w:rsid w:val="38C23901"/>
    <w:rsid w:val="38CC5B1C"/>
    <w:rsid w:val="38D85479"/>
    <w:rsid w:val="390A7799"/>
    <w:rsid w:val="395F573C"/>
    <w:rsid w:val="39676337"/>
    <w:rsid w:val="396B3F13"/>
    <w:rsid w:val="397B3AED"/>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C3300B"/>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4FB6D13"/>
    <w:rsid w:val="457771F8"/>
    <w:rsid w:val="45A1300E"/>
    <w:rsid w:val="45A90ECC"/>
    <w:rsid w:val="45B21AC3"/>
    <w:rsid w:val="45B4278B"/>
    <w:rsid w:val="45C223AF"/>
    <w:rsid w:val="45C665C3"/>
    <w:rsid w:val="45CD71B9"/>
    <w:rsid w:val="45FC3CEC"/>
    <w:rsid w:val="45FE485A"/>
    <w:rsid w:val="461D5BD9"/>
    <w:rsid w:val="468912F2"/>
    <w:rsid w:val="46961BCD"/>
    <w:rsid w:val="46A83703"/>
    <w:rsid w:val="46CB14C3"/>
    <w:rsid w:val="46E23E04"/>
    <w:rsid w:val="47265CD5"/>
    <w:rsid w:val="47293BB1"/>
    <w:rsid w:val="47297947"/>
    <w:rsid w:val="472D4229"/>
    <w:rsid w:val="47457293"/>
    <w:rsid w:val="474B4DBA"/>
    <w:rsid w:val="47DC2167"/>
    <w:rsid w:val="47E343CA"/>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A3099E"/>
    <w:rsid w:val="4BC25928"/>
    <w:rsid w:val="4BC9003C"/>
    <w:rsid w:val="4BCE7C75"/>
    <w:rsid w:val="4C01240E"/>
    <w:rsid w:val="4C7554F0"/>
    <w:rsid w:val="4CC54EFD"/>
    <w:rsid w:val="4D097028"/>
    <w:rsid w:val="4D1E336C"/>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008F3"/>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9B7ED9"/>
    <w:rsid w:val="57DA1D49"/>
    <w:rsid w:val="57E10893"/>
    <w:rsid w:val="57F955BB"/>
    <w:rsid w:val="584904CA"/>
    <w:rsid w:val="586014A2"/>
    <w:rsid w:val="58796C56"/>
    <w:rsid w:val="58F07F9B"/>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D46670"/>
    <w:rsid w:val="5BE523A7"/>
    <w:rsid w:val="5BF809C3"/>
    <w:rsid w:val="5C223EE9"/>
    <w:rsid w:val="5C4D5248"/>
    <w:rsid w:val="5C5105D8"/>
    <w:rsid w:val="5C873985"/>
    <w:rsid w:val="5C9B6746"/>
    <w:rsid w:val="5CBA7729"/>
    <w:rsid w:val="5CCD6777"/>
    <w:rsid w:val="5CE202B6"/>
    <w:rsid w:val="5CE8731C"/>
    <w:rsid w:val="5D045126"/>
    <w:rsid w:val="5D1058C9"/>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5C331D"/>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24455B"/>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35E79"/>
    <w:rsid w:val="6F9E1A77"/>
    <w:rsid w:val="6FEB2AF1"/>
    <w:rsid w:val="702102A2"/>
    <w:rsid w:val="702513D9"/>
    <w:rsid w:val="702C0BD9"/>
    <w:rsid w:val="703027E6"/>
    <w:rsid w:val="707F0BB6"/>
    <w:rsid w:val="70D255C7"/>
    <w:rsid w:val="712811C0"/>
    <w:rsid w:val="7186107A"/>
    <w:rsid w:val="71B41E9B"/>
    <w:rsid w:val="71D8596D"/>
    <w:rsid w:val="71FE7486"/>
    <w:rsid w:val="722F51EB"/>
    <w:rsid w:val="72391A22"/>
    <w:rsid w:val="723E433F"/>
    <w:rsid w:val="724111B0"/>
    <w:rsid w:val="726D74B0"/>
    <w:rsid w:val="728E1D4B"/>
    <w:rsid w:val="72BD12CC"/>
    <w:rsid w:val="72D131B0"/>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6D1327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B97E60"/>
    <w:rsid w:val="7BCF07E3"/>
    <w:rsid w:val="7C60541F"/>
    <w:rsid w:val="7C6A37B2"/>
    <w:rsid w:val="7CB404DF"/>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6"/>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7FFB-AF57-446D-8B2B-DDC54C4C8AB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2430</Words>
  <Characters>2584</Characters>
  <Lines>12</Lines>
  <Paragraphs>3</Paragraphs>
  <TotalTime>6</TotalTime>
  <ScaleCrop>false</ScaleCrop>
  <LinksUpToDate>false</LinksUpToDate>
  <CharactersWithSpaces>2761</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2024-08-09T10:08:00Z</dcterms:created>
  <dc:creator>user</dc:creator>
  <cp:lastModifiedBy>Tianci</cp:lastModifiedBy>
  <cp:lastPrinted>2012-11-19T01:56:00Z</cp:lastPrinted>
  <dcterms:modified xsi:type="dcterms:W3CDTF">2025-11-28T10:50:05Z</dcterms:modified>
  <dc:title>上海证券交易所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349B5F71DFDD4C62AE091DA2C79C37FB</vt:lpwstr>
  </property>
</Properties>
</file>