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5B85B3E5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1F5E29">
        <w:rPr>
          <w:rFonts w:ascii="宋体" w:eastAsia="宋体" w:hAnsi="宋体" w:cs="Times New Roman"/>
          <w:bCs/>
          <w:iCs/>
          <w:color w:val="000000"/>
          <w:sz w:val="24"/>
        </w:rPr>
        <w:t>1</w:t>
      </w:r>
      <w:r w:rsidR="00EB1DC7">
        <w:rPr>
          <w:rFonts w:ascii="宋体" w:eastAsia="宋体" w:hAnsi="宋体" w:cs="Times New Roman"/>
          <w:bCs/>
          <w:iCs/>
          <w:color w:val="000000"/>
          <w:sz w:val="24"/>
        </w:rPr>
        <w:t>1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35315125" w:rsidR="001C5186" w:rsidRDefault="00AD51A3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5DCBC33E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1F5E2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3C8767BB" w:rsidR="00BF084E" w:rsidRPr="00F90917" w:rsidRDefault="00B014A9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泰康资产、长江资管、长盛基金、东方红、淡水泉、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盘京资产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、国联基金、建信基金、人保资产、国盛证券、东方证券、东吴证券、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汇添富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基金、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信达澳亚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天弘基金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、南方基金、申万菱信、宝盈基金、天治基金、诺安基金、中银证券资管、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西部利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得、光大自营、建投资管、第一北京、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创金合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信、前海联合、宏利基金、人保养老、富安达基金、康恩贝投资集团、金元顺安、兴银理财、博道基金、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汇安基金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鑫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元基金、兴银基金、保银投资、金信基金、信泰人寿、鸿图私募、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招商信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诺、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凯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石基金、理成资产、湘财基金、合众资产、粤民投、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禧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弘基金、驼铃资产、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乘果私募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、望溪投资、恒昇基金、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浦银安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盛、海富通、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睿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扬投资、仙人掌基金、摩根基金、中邮基金、安联基金、易米基金、国信证券、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世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诚投资、重阳投资、永望资产、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信仁集团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、蜂巢基金、英大信托、东方基金、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中信保诚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、建信养老、中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金资管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、合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煦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智远、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亘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曦资产、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合远基金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、弘毅远方、青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骊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投资、富国基金、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鼎锋资产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毅木资本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、西部</w:t>
            </w:r>
            <w:r w:rsidR="004F7559">
              <w:rPr>
                <w:rFonts w:ascii="宋体" w:eastAsia="宋体" w:hAnsi="宋体" w:cs="Times New Roman" w:hint="eastAsia"/>
                <w:sz w:val="24"/>
                <w:szCs w:val="24"/>
              </w:rPr>
              <w:t>证券</w:t>
            </w:r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、方正证券、华西</w:t>
            </w:r>
            <w:r w:rsidR="004F7559">
              <w:rPr>
                <w:rFonts w:ascii="宋体" w:eastAsia="宋体" w:hAnsi="宋体" w:cs="Times New Roman" w:hint="eastAsia"/>
                <w:sz w:val="24"/>
                <w:szCs w:val="24"/>
              </w:rPr>
              <w:t>证券</w:t>
            </w:r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、开源</w:t>
            </w:r>
            <w:r w:rsidR="004F7559">
              <w:rPr>
                <w:rFonts w:ascii="宋体" w:eastAsia="宋体" w:hAnsi="宋体" w:cs="Times New Roman" w:hint="eastAsia"/>
                <w:sz w:val="24"/>
                <w:szCs w:val="24"/>
              </w:rPr>
              <w:t>证券</w:t>
            </w:r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、太平洋</w:t>
            </w:r>
            <w:r w:rsidR="004F7559">
              <w:rPr>
                <w:rFonts w:ascii="宋体" w:eastAsia="宋体" w:hAnsi="宋体" w:cs="Times New Roman" w:hint="eastAsia"/>
                <w:sz w:val="24"/>
                <w:szCs w:val="24"/>
              </w:rPr>
              <w:t>证券</w:t>
            </w:r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中金公司、中信建投、兴业证券、华福证券、广发证券、国泰海通、中金自营、中略投资、中欧基金、易方达、广发基金、景顺长城、鹏华基金、大摩基金、红筹投资、博时基金、长城基金、华宝基金、银华基金、高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瓴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资本、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工银瑞信</w:t>
            </w:r>
            <w:proofErr w:type="gramEnd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、新华资产、华商基金、华夏基金、平安基金、</w:t>
            </w:r>
            <w:proofErr w:type="gramStart"/>
            <w:r w:rsidRPr="00B014A9">
              <w:rPr>
                <w:rFonts w:ascii="宋体" w:eastAsia="宋体" w:hAnsi="宋体" w:cs="Times New Roman" w:hint="eastAsia"/>
                <w:sz w:val="24"/>
                <w:szCs w:val="24"/>
              </w:rPr>
              <w:t>润晖投资</w:t>
            </w:r>
            <w:proofErr w:type="gramEnd"/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49D5DA77" w:rsidR="004E372F" w:rsidRPr="00B014A9" w:rsidRDefault="00B014A9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11月3号、11月4号、11月5号、11月6号、11月7号、11月11号、11月12号、11月13号、11月14号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11月19号、11月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  <w:r w:rsidR="0082000B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1F3BAD4D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D51A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券商策略会、</w:t>
            </w:r>
            <w:proofErr w:type="gramStart"/>
            <w:r w:rsidR="00720A0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腾讯会议</w:t>
            </w:r>
            <w:proofErr w:type="gramEnd"/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4166F4" w14:paraId="62AC2FCC" w14:textId="77777777" w:rsidTr="004166F4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4166F4" w:rsidRDefault="00082720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6933BAF5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166F4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1AE0348C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4166F4" w14:paraId="7293735B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AAD0" w14:textId="77777777" w:rsidR="004166F4" w:rsidRDefault="004166F4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CE85" w14:textId="7BC0CA98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49FCE" w14:textId="13CAA340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桂勋</w:t>
            </w:r>
            <w:r w:rsidR="006C03A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（部分）</w:t>
            </w:r>
          </w:p>
        </w:tc>
      </w:tr>
      <w:tr w:rsidR="00B22CF8" w14:paraId="2575BBAA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2BDB4" w14:textId="77777777" w:rsidR="00017F6E" w:rsidRPr="000451CF" w:rsidRDefault="00017F6E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siRNA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技术平台有哪些特色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  <w:r w:rsidRPr="00E2735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双靶点小核酸药物</w:t>
            </w:r>
            <w:r w:rsidRPr="00E2735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2MW7141</w:t>
            </w:r>
            <w:r w:rsidRPr="00E2735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的基本情况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？以及后续开发计划？</w:t>
            </w:r>
          </w:p>
          <w:p w14:paraId="6534818C" w14:textId="77777777" w:rsidR="00017F6E" w:rsidRPr="00E27352" w:rsidRDefault="00017F6E" w:rsidP="00017F6E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2735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公司看好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技术在慢病方向的应用前景，在三年前就开始布局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技术平台。公司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技术平台</w:t>
            </w:r>
            <w:r w:rsidRPr="00E2735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包括自动化的设计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筛选平台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助力快速获取候选分子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E2735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肝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proofErr w:type="gramStart"/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非肝递送</w:t>
            </w:r>
            <w:proofErr w:type="gramEnd"/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平台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提高递送效率，拓展应用领域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E2735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新修饰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骨架平台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延长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持续期，降低副作用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；以及</w:t>
            </w:r>
            <w:r w:rsidRPr="00E2735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多靶点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平台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E27352">
              <w:rPr>
                <w:rFonts w:ascii="Times New Roman" w:eastAsia="宋体" w:hAnsi="Times New Roman" w:cs="Times New Roman"/>
                <w:sz w:val="24"/>
                <w:szCs w:val="24"/>
              </w:rPr>
              <w:t>多个靶点有机组合，提高治疗效果，扩大适应人群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A5ACBED" w14:textId="5C832211" w:rsidR="00017F6E" w:rsidRPr="00E12082" w:rsidRDefault="00017F6E" w:rsidP="00017F6E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为公司自主研发的一款处于临床前阶段的双靶点小核酸药物，主要针对血脂异常人群的血脂调控以及高危心血管事件的预防，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日公告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与</w:t>
            </w:r>
            <w:proofErr w:type="spellStart"/>
            <w:r w:rsidRPr="0035682E">
              <w:rPr>
                <w:rFonts w:ascii="Times New Roman" w:eastAsia="宋体" w:hAnsi="Times New Roman" w:cs="Times New Roman"/>
                <w:sz w:val="24"/>
                <w:szCs w:val="24"/>
              </w:rPr>
              <w:t>Kalexo</w:t>
            </w:r>
            <w:proofErr w:type="spellEnd"/>
            <w:r w:rsidRPr="0035682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Bio, Inc.</w:t>
            </w:r>
            <w:r w:rsidRPr="0035682E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达成全球独家授权协议，总交易额达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亿美元。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采用双靶点设计，实现一加一大于二的效果：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一方面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两个靶点本身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在功能上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具有协同效果，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另外</w:t>
            </w:r>
            <w:r w:rsidRPr="00137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基于优化过的递送设计，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导入肝脏的效果高于单靶，对两个臂都有更强的沉默效果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，并进一步延长了半衰期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处于临床前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CMC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阶段，</w:t>
            </w:r>
            <w:r w:rsidR="005844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预计明年</w:t>
            </w:r>
            <w:r w:rsidR="00A436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进行中美</w:t>
            </w:r>
            <w:r w:rsidR="00A436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IND</w:t>
            </w:r>
            <w:r w:rsidR="00A436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申报。</w:t>
            </w:r>
          </w:p>
          <w:p w14:paraId="784E046F" w14:textId="77777777" w:rsidR="00017F6E" w:rsidRPr="00E12082" w:rsidRDefault="00017F6E" w:rsidP="00017F6E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项目的成功推进，初步验证了迈威生物自主研发的双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多靶点小核酸药物研发技术平台的有效性。除了做肝脏靶向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的双靶点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siRNA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，公司也在探索肝外靶向，脂肪（减重）和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CNS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（神经退行性疾病）靶向是未来的重点方向。</w:t>
            </w:r>
          </w:p>
          <w:p w14:paraId="640CFF26" w14:textId="77777777" w:rsidR="00017F6E" w:rsidRPr="00E12082" w:rsidRDefault="00017F6E" w:rsidP="00017F6E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E558B9" w14:textId="4FDCB59F" w:rsidR="00A01131" w:rsidRPr="000451CF" w:rsidRDefault="00A01131" w:rsidP="00A01131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IL-11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单抗</w:t>
            </w:r>
            <w:r w:rsidR="009211D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病理性瘢痕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临床开发进展？</w:t>
            </w:r>
          </w:p>
          <w:p w14:paraId="47D406A6" w14:textId="059E23A0" w:rsidR="00A602E6" w:rsidRDefault="00A01131" w:rsidP="00A602E6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是一款公司自主研发的靶向人白介素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-11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）的人源化单克隆抗体。</w:t>
            </w:r>
            <w:r w:rsidR="00F95806" w:rsidRPr="00F958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此前，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已完成澳洲及中国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期健康人试验，结果显示其安全性良好、半衰期超过一个月，研发进度处于全球同类靶点领先地位。</w:t>
            </w:r>
            <w:r w:rsidR="003C7A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F958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F9580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F958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F958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F9580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F958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日公告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针对病理性瘢痕适应症的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期临床试验申请获国家药品监督管理局（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NMPA</w:t>
            </w:r>
            <w:r w:rsidR="00F9580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）批准</w:t>
            </w:r>
            <w:r w:rsidR="00B67A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A602E6" w:rsidRPr="00A602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公司计划于</w:t>
            </w:r>
            <w:r w:rsidR="00A602E6" w:rsidRPr="00A602E6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A602E6" w:rsidRPr="00A602E6">
              <w:rPr>
                <w:rFonts w:ascii="Times New Roman" w:eastAsia="宋体" w:hAnsi="Times New Roman" w:cs="Times New Roman"/>
                <w:sz w:val="24"/>
                <w:szCs w:val="24"/>
              </w:rPr>
              <w:t>年底启动</w:t>
            </w:r>
            <w:r w:rsidR="001F6616" w:rsidRPr="00F95806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A602E6" w:rsidRPr="00A602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用于病理性瘢痕的</w:t>
            </w:r>
            <w:r w:rsidR="00A602E6" w:rsidRPr="00A602E6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A602E6" w:rsidRPr="00A602E6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r w:rsidR="00A602E6" w:rsidRPr="00A602E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临床试验，成为该适应症领域首个进入临床阶段的</w:t>
            </w:r>
            <w:r w:rsidR="00A602E6" w:rsidRPr="00A602E6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="00A602E6" w:rsidRPr="00A602E6">
              <w:rPr>
                <w:rFonts w:ascii="Times New Roman" w:eastAsia="宋体" w:hAnsi="Times New Roman" w:cs="Times New Roman"/>
                <w:sz w:val="24"/>
                <w:szCs w:val="24"/>
              </w:rPr>
              <w:t>靶向药物。</w:t>
            </w:r>
          </w:p>
          <w:p w14:paraId="49895ACB" w14:textId="44871788" w:rsidR="00A01131" w:rsidRDefault="00B67A59" w:rsidP="00090DB2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B67A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病理性瘢痕主要包括增生性瘢痕、瘢痕疙瘩、挛缩瘢痕等，在其形成过程中，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的作用尤为突出。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年发表在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Journal of Investigative Dermatology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上的研究论文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“CD39 Fibroblasts Enhance Myofibroblast Activation by Promoting IL-11 Secretion in Hypertrophic Scars”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证实了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通过上调细胞外基质和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α-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平滑肌肌动蛋白的表达，促进成纤维细胞向肌成纤维细胞转化，</w:t>
            </w:r>
            <w:r w:rsidRPr="00B67A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进而驱动瘢痕发生与发展。阻断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相关信号通路可以显著减少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α-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平滑肌肌动蛋白阳性成纤维细胞数量，有效阻断该病理过程。</w:t>
            </w:r>
            <w:r w:rsidR="0019125C" w:rsidRPr="001912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临床前研究表明，</w:t>
            </w:r>
            <w:r w:rsidR="0019125C" w:rsidRPr="0019125C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19125C" w:rsidRPr="0019125C">
              <w:rPr>
                <w:rFonts w:ascii="Times New Roman" w:eastAsia="宋体" w:hAnsi="Times New Roman" w:cs="Times New Roman"/>
                <w:sz w:val="24"/>
                <w:szCs w:val="24"/>
              </w:rPr>
              <w:t>在</w:t>
            </w:r>
            <w:r w:rsidR="0019125C" w:rsidRPr="001912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人源瘢痕疙瘩动物模型中</w:t>
            </w:r>
            <w:r w:rsidR="0019125C" w:rsidRPr="0019125C">
              <w:rPr>
                <w:rFonts w:ascii="Times New Roman" w:eastAsia="宋体" w:hAnsi="Times New Roman" w:cs="Times New Roman"/>
                <w:sz w:val="24"/>
                <w:szCs w:val="24"/>
              </w:rPr>
              <w:t>可有效缓解皮肤纤维化进程并缩小既成</w:t>
            </w:r>
            <w:r w:rsidR="0019125C" w:rsidRPr="001912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瘢痕体积。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根据弗若斯特沙利文的数据，病理性瘢痕的全球患者约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2,500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万人（中国约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740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万人），发病率呈持续上升趋势，预计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2030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年中国患者将突破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1,000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万。针对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的靶</w:t>
            </w:r>
            <w:proofErr w:type="gramStart"/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向治疗</w:t>
            </w:r>
            <w:proofErr w:type="gramEnd"/>
            <w:r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因此具备显著的临床价值和市场前景。</w:t>
            </w:r>
          </w:p>
          <w:p w14:paraId="23A367DD" w14:textId="4ED45543" w:rsidR="00C03703" w:rsidRDefault="00C03703" w:rsidP="00A01131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BC27B39" w14:textId="4540B5E4" w:rsidR="00C03703" w:rsidRPr="000451CF" w:rsidRDefault="00C03703" w:rsidP="00C03703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IL-11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</w:t>
            </w:r>
            <w:proofErr w:type="gramStart"/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抗</w:t>
            </w:r>
            <w:r w:rsidR="00A128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海外</w:t>
            </w:r>
            <w:proofErr w:type="gramEnd"/>
            <w:r w:rsidR="00A128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临床</w:t>
            </w:r>
            <w:r w:rsidR="00ED164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规划与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进展？</w:t>
            </w:r>
          </w:p>
          <w:p w14:paraId="309B9A87" w14:textId="1EC95DEF" w:rsidR="00E12082" w:rsidRPr="00E12082" w:rsidRDefault="00C03703" w:rsidP="00F35397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C85ABF" w:rsidRPr="00ED16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ED164C" w:rsidRPr="00ED16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ED164C" w:rsidRPr="00ED16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ED164C" w:rsidRPr="00ED16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ED164C" w:rsidRPr="00ED164C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ED164C" w:rsidRPr="00ED16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日公告</w:t>
            </w:r>
            <w:r w:rsidR="00090DB2" w:rsidRPr="00090D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已与</w:t>
            </w:r>
            <w:r w:rsidR="00090DB2" w:rsidRPr="00090DB2">
              <w:rPr>
                <w:rFonts w:ascii="Times New Roman" w:eastAsia="宋体" w:hAnsi="Times New Roman" w:cs="Times New Roman"/>
                <w:sz w:val="24"/>
                <w:szCs w:val="24"/>
              </w:rPr>
              <w:t>CALICO Life Sciences</w:t>
            </w:r>
            <w:r w:rsidR="00090DB2" w:rsidRPr="00090DB2">
              <w:rPr>
                <w:rFonts w:ascii="Times New Roman" w:eastAsia="宋体" w:hAnsi="Times New Roman" w:cs="Times New Roman"/>
                <w:sz w:val="24"/>
                <w:szCs w:val="24"/>
              </w:rPr>
              <w:t>就</w:t>
            </w:r>
            <w:r w:rsidR="00090DB2" w:rsidRPr="00090DB2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090DB2" w:rsidRPr="00090DB2">
              <w:rPr>
                <w:rFonts w:ascii="Times New Roman" w:eastAsia="宋体" w:hAnsi="Times New Roman" w:cs="Times New Roman"/>
                <w:sz w:val="24"/>
                <w:szCs w:val="24"/>
              </w:rPr>
              <w:t>达成独家许可协议</w:t>
            </w:r>
            <w:r w:rsidR="003328E1" w:rsidRP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CALICO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获得大中华区以外的全球权益，并</w:t>
            </w:r>
            <w:r w:rsidR="003328E1" w:rsidRP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已向公司支付了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2,500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万美元首付款</w:t>
            </w:r>
            <w:r w:rsidR="003328E1" w:rsidRP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CALICO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Alphabet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旗下聚焦抗衰老创新疗法的公司，其在抗衰老研</w:t>
            </w:r>
            <w:r w:rsidR="003328E1" w:rsidRP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究方面具有深厚的研究基础</w:t>
            </w:r>
            <w:r w:rsidR="00090DB2" w:rsidRPr="00090DB2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目前，</w:t>
            </w:r>
            <w:r w:rsidR="003328E1" w:rsidRPr="003328E1">
              <w:rPr>
                <w:rFonts w:ascii="Times New Roman" w:eastAsia="宋体" w:hAnsi="Times New Roman" w:cs="Times New Roman"/>
                <w:sz w:val="24"/>
                <w:szCs w:val="24"/>
              </w:rPr>
              <w:t>CALICO</w:t>
            </w:r>
            <w:r w:rsid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正在</w:t>
            </w:r>
            <w:r w:rsidR="0069509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</w:t>
            </w:r>
            <w:r w:rsid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</w:t>
            </w:r>
            <w:r w:rsid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FDA</w:t>
            </w:r>
            <w:r w:rsid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沟通美国抗衰老相关的</w:t>
            </w:r>
            <w:r w:rsidR="00C55F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="00C55F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</w:t>
            </w:r>
            <w:r w:rsidR="003328E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临床方案</w:t>
            </w:r>
            <w:r w:rsidR="0069509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C840D53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10012A7" w14:textId="01BC5FBC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CDH17 ADC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临床</w:t>
            </w:r>
            <w:r w:rsidR="00A4361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最新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进展？有哪些差异化优势？</w:t>
            </w:r>
          </w:p>
          <w:p w14:paraId="58F2170A" w14:textId="4D55BF6A" w:rsidR="00CF480F" w:rsidRPr="00CF480F" w:rsidRDefault="00E12082" w:rsidP="00E12082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公司靶向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="00BA7EDF" w:rsidRPr="00BA7E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针对晚期实体瘤的</w:t>
            </w:r>
            <w:r w:rsidR="00BA7EDF" w:rsidRPr="00BA7EDF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="00BA7EDF" w:rsidRPr="00BA7EDF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 w:rsidR="00CF48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="00BA7EDF" w:rsidRPr="00BA7EDF">
              <w:rPr>
                <w:rFonts w:ascii="Times New Roman" w:eastAsia="宋体" w:hAnsi="Times New Roman" w:cs="Times New Roman"/>
                <w:sz w:val="24"/>
                <w:szCs w:val="24"/>
              </w:rPr>
              <w:t>完成首例患者给药。</w:t>
            </w:r>
            <w:r w:rsidR="00CF480F" w:rsidRPr="00CF48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该项</w:t>
            </w:r>
            <w:r w:rsidR="00CF480F" w:rsidRPr="00CF480F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="00CF480F" w:rsidRPr="00CF480F">
              <w:rPr>
                <w:rFonts w:ascii="Times New Roman" w:eastAsia="宋体" w:hAnsi="Times New Roman" w:cs="Times New Roman"/>
                <w:sz w:val="24"/>
                <w:szCs w:val="24"/>
              </w:rPr>
              <w:t>期临床试验（</w:t>
            </w:r>
            <w:r w:rsidR="00CF480F" w:rsidRPr="00CF480F">
              <w:rPr>
                <w:rFonts w:ascii="Times New Roman" w:eastAsia="宋体" w:hAnsi="Times New Roman" w:cs="Times New Roman"/>
                <w:sz w:val="24"/>
                <w:szCs w:val="24"/>
              </w:rPr>
              <w:t>CTR20254163</w:t>
            </w:r>
            <w:r w:rsidR="00CF480F" w:rsidRPr="00CF480F">
              <w:rPr>
                <w:rFonts w:ascii="Times New Roman" w:eastAsia="宋体" w:hAnsi="Times New Roman" w:cs="Times New Roman"/>
                <w:sz w:val="24"/>
                <w:szCs w:val="24"/>
              </w:rPr>
              <w:t>）旨在评估</w:t>
            </w:r>
            <w:r w:rsidR="00CF480F" w:rsidRPr="00CF480F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="00CF480F" w:rsidRPr="00CF480F">
              <w:rPr>
                <w:rFonts w:ascii="Times New Roman" w:eastAsia="宋体" w:hAnsi="Times New Roman" w:cs="Times New Roman"/>
                <w:sz w:val="24"/>
                <w:szCs w:val="24"/>
              </w:rPr>
              <w:t>在晚期实体瘤患者中的安全性、耐受性、药代动力学特征和初步疗效</w:t>
            </w:r>
            <w:r w:rsidR="007255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725576" w:rsidRPr="007255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主要研究者</w:t>
            </w:r>
            <w:r w:rsidR="007255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7255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PI</w:t>
            </w:r>
            <w:r w:rsidR="007255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）为</w:t>
            </w:r>
            <w:r w:rsidR="00725576" w:rsidRPr="007255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复旦大学附属肿瘤医院虞先濬</w:t>
            </w:r>
            <w:r w:rsidR="007255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院长。</w:t>
            </w:r>
            <w:r w:rsidR="001F6616" w:rsidRPr="001F661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此前，</w:t>
            </w:r>
            <w:r w:rsidR="001F6616" w:rsidRPr="001F6616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="001F661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还获得</w:t>
            </w:r>
            <w:r w:rsidR="001F6616" w:rsidRPr="001F6616">
              <w:rPr>
                <w:rFonts w:ascii="Times New Roman" w:eastAsia="宋体" w:hAnsi="Times New Roman" w:cs="Times New Roman"/>
                <w:sz w:val="24"/>
                <w:szCs w:val="24"/>
              </w:rPr>
              <w:t>FDA</w:t>
            </w:r>
            <w:r w:rsidR="001F6616" w:rsidRPr="001F6616">
              <w:rPr>
                <w:rFonts w:ascii="Times New Roman" w:eastAsia="宋体" w:hAnsi="Times New Roman" w:cs="Times New Roman"/>
                <w:sz w:val="24"/>
                <w:szCs w:val="24"/>
              </w:rPr>
              <w:t>许可针对晚期结直肠癌及其他晚期胃肠道肿瘤开展</w:t>
            </w:r>
            <w:r w:rsidR="001F6616" w:rsidRPr="001F6616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="001F6616" w:rsidRPr="001F6616">
              <w:rPr>
                <w:rFonts w:ascii="Times New Roman" w:eastAsia="宋体" w:hAnsi="Times New Roman" w:cs="Times New Roman"/>
                <w:sz w:val="24"/>
                <w:szCs w:val="24"/>
              </w:rPr>
              <w:t>期临床试验（</w:t>
            </w:r>
            <w:r w:rsidR="001F6616" w:rsidRPr="001F6616">
              <w:rPr>
                <w:rFonts w:ascii="Times New Roman" w:eastAsia="宋体" w:hAnsi="Times New Roman" w:cs="Times New Roman"/>
                <w:sz w:val="24"/>
                <w:szCs w:val="24"/>
              </w:rPr>
              <w:t>NCT07216560</w:t>
            </w:r>
            <w:r w:rsidR="001F6616" w:rsidRPr="001F6616">
              <w:rPr>
                <w:rFonts w:ascii="Times New Roman" w:eastAsia="宋体" w:hAnsi="Times New Roman" w:cs="Times New Roman"/>
                <w:sz w:val="24"/>
                <w:szCs w:val="24"/>
              </w:rPr>
              <w:t>）。</w:t>
            </w:r>
          </w:p>
          <w:p w14:paraId="0AD860EB" w14:textId="789C4269" w:rsidR="00E12082" w:rsidRPr="00E12082" w:rsidRDefault="00E12082" w:rsidP="00725576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公司于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Cell Reports Medicine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发表了</w:t>
            </w:r>
            <w:r w:rsidR="00725576"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临床前研究成果，显示</w:t>
            </w:r>
            <w:r w:rsidR="007255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拥有五大优势：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3C7A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分子设计方面，均质化载药（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DAR=4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比例＞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95%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）与稳定连接子赋予优异血浆稳定性，高膜渗透性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MF-6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毒素产生强效旁观者杀伤；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3C7A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抗肿瘤活性方面，在结直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肠癌、胃癌及胰腺癌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PDX/CDX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模型中均展现深度抑瘤效应，且对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RAS/BRAF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等多种突变及不同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CMS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分型结直肠癌有效；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3C7A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耐药突破方面，在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ABC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转运蛋白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介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导的多药耐药模型中疗效显著优于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MMAE/</w:t>
            </w:r>
            <w:proofErr w:type="spell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DXd</w:t>
            </w:r>
            <w:proofErr w:type="spell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类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，并能逆转此类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治疗后的肿瘤进展；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3C7A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靶标普适性方面，对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CDH17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中低表达肿瘤仍保持显著活性；而且在结直肠癌、胃癌及胰腺癌等消化道恶性肿瘤中呈现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显著过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表达；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3C7A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安全性方面，小鼠研究显示有限组织分布及食蟹猴毒理研究显示可控代谢特征（适中半衰期、无蓄积倾向）和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宽治疗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窗口，未观察到显著毒性信号。基于以上优势，</w:t>
            </w:r>
            <w:r w:rsidR="00725576"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已展现出成为晚期消化道实体瘤变革性疗法的潜力。</w:t>
            </w:r>
          </w:p>
          <w:p w14:paraId="7EB1E198" w14:textId="0F7F35CA" w:rsid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8F4F19A" w14:textId="0B8D9DD5" w:rsidR="008B6ACA" w:rsidRPr="000451CF" w:rsidRDefault="008B6ACA" w:rsidP="008B6ACA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8B6AC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ST2</w:t>
            </w:r>
            <w:r w:rsidRPr="008B6AC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单抗临床进展如何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194083CF" w14:textId="6D9D3214" w:rsidR="008D6D53" w:rsidRDefault="008B6ACA" w:rsidP="008B6ACA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目前，公司的抗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单抗（以下简称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“MW19”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）为全球同靶点进度第二，仅次于罗氏的</w:t>
            </w:r>
            <w:proofErr w:type="spellStart"/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Astegolimab</w:t>
            </w:r>
            <w:proofErr w:type="spellEnd"/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MW19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为国内企业首家进入临床的同靶点药物，正快速推进</w:t>
            </w:r>
            <w:r w:rsidR="008D6D53" w:rsidRP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慢阻肺</w:t>
            </w:r>
            <w:r w:rsidR="008D6D53" w:rsidRPr="008D6D53">
              <w:rPr>
                <w:rFonts w:ascii="Times New Roman" w:eastAsia="宋体" w:hAnsi="Times New Roman" w:cs="Times New Roman"/>
                <w:sz w:val="24"/>
                <w:szCs w:val="24"/>
              </w:rPr>
              <w:t>(COPD)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临床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期研究，</w:t>
            </w:r>
            <w:r w:rsidR="008D6D53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将于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</w:t>
            </w:r>
            <w:r w:rsidR="008D6D53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下半年完成所有</w:t>
            </w:r>
            <w:proofErr w:type="spellStart"/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IIa</w:t>
            </w:r>
            <w:proofErr w:type="spellEnd"/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8D6D5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例</w:t>
            </w:r>
            <w:r w:rsidR="008D6D53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受试者随访，并力争读出部分</w:t>
            </w:r>
            <w:r w:rsidR="008D6D53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8D6D53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期临床数据。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</w:t>
            </w:r>
            <w:r w:rsidR="008D6D53" w:rsidRP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FDA</w:t>
            </w:r>
            <w:r w:rsidR="008D6D53" w:rsidRP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</w:t>
            </w:r>
            <w:r w:rsidR="008D6D53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MW19</w:t>
            </w:r>
            <w:r w:rsidR="008D6D53" w:rsidRP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临床方案的</w:t>
            </w:r>
            <w:r w:rsidR="008D6D53" w:rsidRPr="008D6D53">
              <w:rPr>
                <w:rFonts w:ascii="Times New Roman" w:eastAsia="宋体" w:hAnsi="Times New Roman" w:cs="Times New Roman"/>
                <w:sz w:val="24"/>
                <w:szCs w:val="24"/>
              </w:rPr>
              <w:t>pre-IND</w:t>
            </w:r>
            <w:r w:rsidR="008D6D53" w:rsidRPr="008D6D53">
              <w:rPr>
                <w:rFonts w:ascii="Times New Roman" w:eastAsia="宋体" w:hAnsi="Times New Roman" w:cs="Times New Roman"/>
                <w:sz w:val="24"/>
                <w:szCs w:val="24"/>
              </w:rPr>
              <w:t>沟通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D6D53" w:rsidRP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</w:t>
            </w:r>
            <w:r w:rsidR="008D6D53" w:rsidRPr="008D6D5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D6D53" w:rsidRPr="008D6D53">
              <w:rPr>
                <w:rFonts w:ascii="Times New Roman" w:eastAsia="宋体" w:hAnsi="Times New Roman" w:cs="Times New Roman"/>
                <w:sz w:val="24"/>
                <w:szCs w:val="24"/>
              </w:rPr>
              <w:t>Q4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正式</w:t>
            </w:r>
            <w:r w:rsidR="008D6D53" w:rsidRPr="008D6D53">
              <w:rPr>
                <w:rFonts w:ascii="Times New Roman" w:eastAsia="宋体" w:hAnsi="Times New Roman" w:cs="Times New Roman"/>
                <w:sz w:val="24"/>
                <w:szCs w:val="24"/>
              </w:rPr>
              <w:t>申报美国</w:t>
            </w:r>
            <w:proofErr w:type="spellStart"/>
            <w:r w:rsidR="008D6D53" w:rsidRPr="008D6D53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="008D6D53" w:rsidRPr="008D6D53">
              <w:rPr>
                <w:rFonts w:ascii="Times New Roman" w:eastAsia="宋体" w:hAnsi="Times New Roman" w:cs="Times New Roman"/>
                <w:sz w:val="24"/>
                <w:szCs w:val="24"/>
              </w:rPr>
              <w:t>期临床</w:t>
            </w:r>
            <w:r w:rsidR="008D6D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E3F2ED9" w14:textId="529B528C" w:rsidR="008B6ACA" w:rsidRDefault="008B6ACA" w:rsidP="008D6D53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相较于同类产品，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MW19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在分子设计阶段就考虑了多个差异化因素：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1)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在结合动力学上体现更优异的体外数据，对比同类产品，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MW19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在不同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pH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值条件下的结合更有优势，说明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MW19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结合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的能力较少受到组织微环境和溶酶体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pH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的影响，这个可能会提升体内长期用药及不同人群用药下的临床疗效；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2)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在抗体设计的过程中，主要考虑抗体的特异性，这关乎到体内安全性和有效性。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MW19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经过实验验证，未发现明显的脱靶现象。因此，迈威生物的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致力于成为一款具备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BIC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潜质的治疗药物，也有潜在的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可能性</w:t>
            </w:r>
            <w:r w:rsidRPr="00BA7ED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D6423CF" w14:textId="77777777" w:rsidR="008B6ACA" w:rsidRPr="00E12082" w:rsidRDefault="008B6ACA" w:rsidP="008B6ACA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78D5A972" w14:textId="24C24E81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890C0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公司主要产品的销售情况</w:t>
            </w:r>
            <w:r w:rsidR="008571F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和明年销售预期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7D261E4" w14:textId="4F1FF3F3" w:rsidR="00E12082" w:rsidRDefault="00E12082" w:rsidP="00E12082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414894" w:rsidRPr="004148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根据公司三季报披露，</w:t>
            </w:r>
            <w:r w:rsidR="004148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今年前三季度</w:t>
            </w:r>
            <w:r w:rsidR="00414894" w:rsidRPr="004148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营业收入合计</w:t>
            </w:r>
            <w:r w:rsidR="00414894">
              <w:rPr>
                <w:rFonts w:ascii="Times New Roman" w:eastAsia="宋体" w:hAnsi="Times New Roman" w:cs="Times New Roman"/>
                <w:sz w:val="24"/>
                <w:szCs w:val="24"/>
              </w:rPr>
              <w:t>5.66</w:t>
            </w:r>
            <w:r w:rsidR="004148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元，较上年同期增长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301%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。其中技术服务收入为</w:t>
            </w:r>
            <w:r w:rsidR="00414894">
              <w:rPr>
                <w:rFonts w:ascii="Times New Roman" w:eastAsia="宋体" w:hAnsi="Times New Roman" w:cs="Times New Roman"/>
                <w:sz w:val="24"/>
                <w:szCs w:val="24"/>
              </w:rPr>
              <w:t>4.07</w:t>
            </w:r>
            <w:r w:rsidR="004148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元，同比增长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71</w:t>
            </w:r>
            <w:r w:rsidR="0041489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；药品销售收入为</w:t>
            </w:r>
            <w:r w:rsidR="00414894">
              <w:rPr>
                <w:rFonts w:ascii="Times New Roman" w:eastAsia="宋体" w:hAnsi="Times New Roman" w:cs="Times New Roman"/>
                <w:sz w:val="24"/>
                <w:szCs w:val="24"/>
              </w:rPr>
              <w:t>1.56</w:t>
            </w:r>
            <w:r w:rsidR="004148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元，同比增长</w:t>
            </w:r>
            <w:r w:rsidR="00414894" w:rsidRPr="00414894">
              <w:rPr>
                <w:rFonts w:ascii="Times New Roman" w:eastAsia="宋体" w:hAnsi="Times New Roman" w:cs="Times New Roman"/>
                <w:sz w:val="24"/>
                <w:szCs w:val="24"/>
              </w:rPr>
              <w:t>72%</w:t>
            </w:r>
            <w:r w:rsidR="004148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，药品销售收入主要为地舒单抗贡献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8571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预计明年药品销售将有更多增量品种：</w:t>
            </w:r>
            <w:r w:rsidR="003C7A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1)</w:t>
            </w:r>
            <w:r w:rsidR="008571FA" w:rsidRPr="008571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新增</w:t>
            </w:r>
            <w:r w:rsidR="008571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长效生白药</w:t>
            </w:r>
            <w:r w:rsidR="008571FA" w:rsidRPr="008571FA">
              <w:rPr>
                <w:rFonts w:ascii="Times New Roman" w:eastAsia="宋体" w:hAnsi="Times New Roman" w:cs="Times New Roman"/>
                <w:sz w:val="24"/>
                <w:szCs w:val="24"/>
              </w:rPr>
              <w:t>HAS-G-CSF</w:t>
            </w:r>
            <w:r w:rsidR="008571FA" w:rsidRPr="008571FA">
              <w:rPr>
                <w:rFonts w:ascii="Times New Roman" w:eastAsia="宋体" w:hAnsi="Times New Roman" w:cs="Times New Roman"/>
                <w:sz w:val="24"/>
                <w:szCs w:val="24"/>
              </w:rPr>
              <w:t>获批上市</w:t>
            </w:r>
            <w:r w:rsidR="008571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，并将</w:t>
            </w:r>
            <w:r w:rsidR="008571FA" w:rsidRPr="008571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大中华区</w:t>
            </w:r>
            <w:r w:rsidR="008571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权益授权齐鲁制药；</w:t>
            </w:r>
            <w:r w:rsidR="003C7A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3C7AB3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8571FA" w:rsidRPr="008571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地舒单抗（</w:t>
            </w:r>
            <w:r w:rsidR="008571FA" w:rsidRPr="008571FA">
              <w:rPr>
                <w:rFonts w:ascii="Times New Roman" w:eastAsia="宋体" w:hAnsi="Times New Roman" w:cs="Times New Roman"/>
                <w:sz w:val="24"/>
                <w:szCs w:val="24"/>
              </w:rPr>
              <w:t>120mg</w:t>
            </w:r>
            <w:r w:rsidR="008571FA" w:rsidRPr="008571FA">
              <w:rPr>
                <w:rFonts w:ascii="Times New Roman" w:eastAsia="宋体" w:hAnsi="Times New Roman" w:cs="Times New Roman"/>
                <w:sz w:val="24"/>
                <w:szCs w:val="24"/>
              </w:rPr>
              <w:t>）骨转移大适应症</w:t>
            </w:r>
            <w:r w:rsidR="008571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有望</w:t>
            </w:r>
            <w:r w:rsidR="008571FA" w:rsidRPr="008571FA">
              <w:rPr>
                <w:rFonts w:ascii="Times New Roman" w:eastAsia="宋体" w:hAnsi="Times New Roman" w:cs="Times New Roman"/>
                <w:sz w:val="24"/>
                <w:szCs w:val="24"/>
              </w:rPr>
              <w:t>提交补充申请</w:t>
            </w:r>
            <w:r w:rsidR="00B22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3C7AB3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="003C7AB3">
              <w:rPr>
                <w:rFonts w:ascii="宋体" w:eastAsia="宋体" w:hAnsi="宋体" w:cs="宋体"/>
                <w:sz w:val="24"/>
                <w:szCs w:val="24"/>
              </w:rPr>
              <w:t>)</w:t>
            </w:r>
            <w:r w:rsidR="008B6ACA">
              <w:rPr>
                <w:rFonts w:ascii="宋体" w:eastAsia="宋体" w:hAnsi="宋体" w:cs="宋体" w:hint="eastAsia"/>
                <w:sz w:val="24"/>
                <w:szCs w:val="24"/>
              </w:rPr>
              <w:t>阿达木单抗</w:t>
            </w:r>
            <w:r w:rsidR="008B6ACA" w:rsidRPr="008B6ACA">
              <w:rPr>
                <w:rFonts w:ascii="宋体" w:eastAsia="宋体" w:hAnsi="宋体" w:cs="宋体"/>
                <w:sz w:val="24"/>
                <w:szCs w:val="24"/>
              </w:rPr>
              <w:t>MAH</w:t>
            </w:r>
            <w:r w:rsidR="008B6ACA">
              <w:rPr>
                <w:rFonts w:ascii="宋体" w:eastAsia="宋体" w:hAnsi="宋体" w:cs="宋体" w:hint="eastAsia"/>
                <w:sz w:val="24"/>
                <w:szCs w:val="24"/>
              </w:rPr>
              <w:t>已</w:t>
            </w:r>
            <w:r w:rsidR="008B6ACA" w:rsidRPr="008B6ACA">
              <w:rPr>
                <w:rFonts w:ascii="宋体" w:eastAsia="宋体" w:hAnsi="宋体" w:cs="宋体"/>
                <w:sz w:val="24"/>
                <w:szCs w:val="24"/>
              </w:rPr>
              <w:t>由君实生物变更为迈威生物</w:t>
            </w:r>
            <w:r w:rsidR="008B6ACA">
              <w:rPr>
                <w:rFonts w:ascii="宋体" w:eastAsia="宋体" w:hAnsi="宋体" w:cs="宋体" w:hint="eastAsia"/>
                <w:sz w:val="24"/>
                <w:szCs w:val="24"/>
              </w:rPr>
              <w:t>，报表端将体现阿达木单抗</w:t>
            </w:r>
            <w:r w:rsidR="008B6AC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销售收入；</w:t>
            </w:r>
            <w:r w:rsidR="003C7AB3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="003C7AB3">
              <w:rPr>
                <w:rFonts w:ascii="宋体" w:eastAsia="宋体" w:hAnsi="宋体" w:cs="宋体"/>
                <w:sz w:val="24"/>
                <w:szCs w:val="24"/>
              </w:rPr>
              <w:t>)</w:t>
            </w:r>
            <w:r w:rsidR="00B2256B" w:rsidRPr="00B2256B">
              <w:rPr>
                <w:rFonts w:ascii="宋体" w:eastAsia="宋体" w:hAnsi="宋体" w:cs="宋体" w:hint="eastAsia"/>
                <w:sz w:val="24"/>
                <w:szCs w:val="24"/>
              </w:rPr>
              <w:t>阿柏西普生物</w:t>
            </w:r>
            <w:proofErr w:type="gramStart"/>
            <w:r w:rsidR="00B2256B" w:rsidRPr="00B2256B">
              <w:rPr>
                <w:rFonts w:ascii="宋体" w:eastAsia="宋体" w:hAnsi="宋体" w:cs="宋体" w:hint="eastAsia"/>
                <w:sz w:val="24"/>
                <w:szCs w:val="24"/>
              </w:rPr>
              <w:t>类似药</w:t>
            </w:r>
            <w:proofErr w:type="gramEnd"/>
            <w:r w:rsidR="00B2256B" w:rsidRPr="00B2256B">
              <w:rPr>
                <w:rFonts w:ascii="宋体" w:eastAsia="宋体" w:hAnsi="宋体" w:cs="宋体"/>
                <w:sz w:val="24"/>
                <w:szCs w:val="24"/>
              </w:rPr>
              <w:t>9MW0813</w:t>
            </w:r>
            <w:r w:rsidR="00B2256B">
              <w:rPr>
                <w:rFonts w:ascii="宋体" w:eastAsia="宋体" w:hAnsi="宋体" w:cs="宋体" w:hint="eastAsia"/>
                <w:sz w:val="24"/>
                <w:szCs w:val="24"/>
              </w:rPr>
              <w:t>已</w:t>
            </w:r>
            <w:r w:rsidR="00B2256B" w:rsidRPr="00B2256B">
              <w:rPr>
                <w:rFonts w:ascii="宋体" w:eastAsia="宋体" w:hAnsi="宋体" w:cs="宋体"/>
                <w:sz w:val="24"/>
                <w:szCs w:val="24"/>
              </w:rPr>
              <w:t>报产</w:t>
            </w:r>
            <w:r w:rsidR="00B2256B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3C7AB3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="003C7AB3">
              <w:rPr>
                <w:rFonts w:ascii="宋体" w:eastAsia="宋体" w:hAnsi="宋体" w:cs="宋体"/>
                <w:sz w:val="24"/>
                <w:szCs w:val="24"/>
              </w:rPr>
              <w:t>)</w:t>
            </w:r>
            <w:r w:rsidR="00B2256B">
              <w:rPr>
                <w:rFonts w:ascii="宋体" w:eastAsia="宋体" w:hAnsi="宋体" w:cs="宋体" w:hint="eastAsia"/>
                <w:sz w:val="24"/>
                <w:szCs w:val="24"/>
              </w:rPr>
              <w:t>和重庆</w:t>
            </w:r>
            <w:r w:rsidR="00B2256B" w:rsidRPr="00B2256B">
              <w:rPr>
                <w:rFonts w:ascii="宋体" w:eastAsia="宋体" w:hAnsi="宋体" w:cs="宋体" w:hint="eastAsia"/>
                <w:sz w:val="24"/>
                <w:szCs w:val="24"/>
              </w:rPr>
              <w:t>政企合作的创新营销模式</w:t>
            </w:r>
            <w:r w:rsidR="00B2256B">
              <w:rPr>
                <w:rFonts w:ascii="宋体" w:eastAsia="宋体" w:hAnsi="宋体" w:cs="宋体" w:hint="eastAsia"/>
                <w:sz w:val="24"/>
                <w:szCs w:val="24"/>
              </w:rPr>
              <w:t>加速地舒单抗新患筛查和推广销售等。</w:t>
            </w:r>
          </w:p>
          <w:p w14:paraId="6D187BEE" w14:textId="4E314C32" w:rsidR="00B2256B" w:rsidRPr="00E12082" w:rsidRDefault="00B2256B" w:rsidP="00B2256B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此外，公司</w:t>
            </w:r>
            <w:r w:rsidRPr="00B22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在手现金显著改善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，截至今年三季度末</w:t>
            </w:r>
            <w:r w:rsid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</w:t>
            </w:r>
            <w:r w:rsidR="008B6ACA" w:rsidRP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现金和现金等价物</w:t>
            </w:r>
            <w:r w:rsidR="008B6ACA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14.39</w:t>
            </w:r>
            <w:r w:rsidR="008B6ACA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亿元</w:t>
            </w:r>
            <w:r w:rsid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，相比去年底</w:t>
            </w:r>
            <w:r w:rsidR="008B6ACA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12.28</w:t>
            </w:r>
            <w:r w:rsidR="008B6ACA" w:rsidRPr="008B6ACA">
              <w:rPr>
                <w:rFonts w:ascii="Times New Roman" w:eastAsia="宋体" w:hAnsi="Times New Roman" w:cs="Times New Roman"/>
                <w:sz w:val="24"/>
                <w:szCs w:val="24"/>
              </w:rPr>
              <w:t>亿元</w:t>
            </w:r>
            <w:r w:rsid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增加了</w:t>
            </w:r>
            <w:r w:rsid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8B6ACA">
              <w:rPr>
                <w:rFonts w:ascii="Times New Roman" w:eastAsia="宋体" w:hAnsi="Times New Roman" w:cs="Times New Roman"/>
                <w:sz w:val="24"/>
                <w:szCs w:val="24"/>
              </w:rPr>
              <w:t>.11</w:t>
            </w:r>
            <w:r w:rsid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亿元，主要受益于产品授权首付款、里程碑</w:t>
            </w:r>
            <w:r w:rsidR="001F661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付款</w:t>
            </w:r>
            <w:r w:rsidR="008B6A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以及药品销售保持较快增长。</w:t>
            </w:r>
            <w:bookmarkStart w:id="1" w:name="_GoBack"/>
            <w:bookmarkEnd w:id="1"/>
          </w:p>
          <w:p w14:paraId="4D36AC33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578F965" w14:textId="77777777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问：公司的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BD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推进情况如何，后续是否还有新的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BD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项目落地？</w:t>
            </w:r>
          </w:p>
          <w:p w14:paraId="22D9408A" w14:textId="17DE90E3" w:rsidR="00E12082" w:rsidRPr="00E12082" w:rsidRDefault="00E12082" w:rsidP="003C7AB3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年是公司创新药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业务非常关键的一年，已经取得了多个突破，包括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单抗、注射用阿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格司亭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、双靶点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等多个产品实现对外授权合作。此外，公司正积极推进其他创新药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业务，涉及管线包括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B7-H3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抗以及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多条临床前管线。同时，公司始终认为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业务本身具有不确定性。</w:t>
            </w:r>
          </w:p>
        </w:tc>
      </w:tr>
    </w:tbl>
    <w:p w14:paraId="6FDBDD09" w14:textId="77777777" w:rsidR="001C5186" w:rsidRPr="00997B53" w:rsidRDefault="001C5186" w:rsidP="00546326">
      <w:pPr>
        <w:spacing w:line="300" w:lineRule="auto"/>
        <w:rPr>
          <w:rFonts w:ascii="Times New Roman" w:eastAsia="宋体" w:hAnsi="Times New Roman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B4492" w14:textId="77777777" w:rsidR="00AE076A" w:rsidRDefault="00AE076A">
      <w:r>
        <w:separator/>
      </w:r>
    </w:p>
  </w:endnote>
  <w:endnote w:type="continuationSeparator" w:id="0">
    <w:p w14:paraId="4FFE434A" w14:textId="77777777" w:rsidR="00AE076A" w:rsidRDefault="00AE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r w:rsidR="008754FE">
      <w:fldChar w:fldCharType="begin"/>
    </w:r>
    <w:r w:rsidR="008754FE">
      <w:instrText xml:space="preserve"> NUMPAGES  </w:instrText>
    </w:r>
    <w:r w:rsidR="008754FE">
      <w:fldChar w:fldCharType="separate"/>
    </w:r>
    <w:r w:rsidR="00716068">
      <w:rPr>
        <w:noProof/>
      </w:rPr>
      <w:t>6</w:t>
    </w:r>
    <w:r w:rsidR="008754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C1FC4" w14:textId="77777777" w:rsidR="00AE076A" w:rsidRDefault="00AE076A">
      <w:r>
        <w:separator/>
      </w:r>
    </w:p>
  </w:footnote>
  <w:footnote w:type="continuationSeparator" w:id="0">
    <w:p w14:paraId="09C4FDDE" w14:textId="77777777" w:rsidR="00AE076A" w:rsidRDefault="00AE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15407"/>
    <w:rsid w:val="00015BB9"/>
    <w:rsid w:val="00017F6E"/>
    <w:rsid w:val="00020932"/>
    <w:rsid w:val="00021F79"/>
    <w:rsid w:val="00036090"/>
    <w:rsid w:val="00037DDF"/>
    <w:rsid w:val="000451C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2720"/>
    <w:rsid w:val="00086367"/>
    <w:rsid w:val="00087041"/>
    <w:rsid w:val="00090DB2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7BDC"/>
    <w:rsid w:val="000C7C96"/>
    <w:rsid w:val="000D5829"/>
    <w:rsid w:val="000D5B67"/>
    <w:rsid w:val="000D753F"/>
    <w:rsid w:val="000E4584"/>
    <w:rsid w:val="000F0F7E"/>
    <w:rsid w:val="000F39A6"/>
    <w:rsid w:val="000F50F6"/>
    <w:rsid w:val="000F70A8"/>
    <w:rsid w:val="00100BC3"/>
    <w:rsid w:val="00101157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A6"/>
    <w:rsid w:val="00134CBB"/>
    <w:rsid w:val="00134CCA"/>
    <w:rsid w:val="0013672E"/>
    <w:rsid w:val="00137B79"/>
    <w:rsid w:val="001401BB"/>
    <w:rsid w:val="00142315"/>
    <w:rsid w:val="00146095"/>
    <w:rsid w:val="00153560"/>
    <w:rsid w:val="001606B6"/>
    <w:rsid w:val="00160F95"/>
    <w:rsid w:val="00164671"/>
    <w:rsid w:val="00166FFC"/>
    <w:rsid w:val="0017329E"/>
    <w:rsid w:val="00174CF4"/>
    <w:rsid w:val="00180A9C"/>
    <w:rsid w:val="00182D6A"/>
    <w:rsid w:val="001837A4"/>
    <w:rsid w:val="00190CFD"/>
    <w:rsid w:val="0019125C"/>
    <w:rsid w:val="0019188C"/>
    <w:rsid w:val="001A0C33"/>
    <w:rsid w:val="001A0F46"/>
    <w:rsid w:val="001A335B"/>
    <w:rsid w:val="001A3A12"/>
    <w:rsid w:val="001A464D"/>
    <w:rsid w:val="001A679D"/>
    <w:rsid w:val="001B085E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5E29"/>
    <w:rsid w:val="001F6616"/>
    <w:rsid w:val="001F7AB0"/>
    <w:rsid w:val="00203DB1"/>
    <w:rsid w:val="0021035B"/>
    <w:rsid w:val="002103CB"/>
    <w:rsid w:val="0021054A"/>
    <w:rsid w:val="00210EB1"/>
    <w:rsid w:val="002116A1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40914"/>
    <w:rsid w:val="00244F1B"/>
    <w:rsid w:val="00256110"/>
    <w:rsid w:val="00260BEE"/>
    <w:rsid w:val="00267AD1"/>
    <w:rsid w:val="00271E8F"/>
    <w:rsid w:val="00274A19"/>
    <w:rsid w:val="00277E2D"/>
    <w:rsid w:val="00283D13"/>
    <w:rsid w:val="00284599"/>
    <w:rsid w:val="00285B72"/>
    <w:rsid w:val="002910D0"/>
    <w:rsid w:val="00294C20"/>
    <w:rsid w:val="00296315"/>
    <w:rsid w:val="00297D44"/>
    <w:rsid w:val="00297D5F"/>
    <w:rsid w:val="002A3289"/>
    <w:rsid w:val="002B6B66"/>
    <w:rsid w:val="002C35FB"/>
    <w:rsid w:val="002C44F5"/>
    <w:rsid w:val="002C4AB5"/>
    <w:rsid w:val="002D07A3"/>
    <w:rsid w:val="002D3F5B"/>
    <w:rsid w:val="002D4BF2"/>
    <w:rsid w:val="002D63A0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60FC"/>
    <w:rsid w:val="003168ED"/>
    <w:rsid w:val="003222E0"/>
    <w:rsid w:val="00326F2A"/>
    <w:rsid w:val="003271AD"/>
    <w:rsid w:val="003328E1"/>
    <w:rsid w:val="00333438"/>
    <w:rsid w:val="00335621"/>
    <w:rsid w:val="003367FB"/>
    <w:rsid w:val="003416BF"/>
    <w:rsid w:val="00342894"/>
    <w:rsid w:val="003429D3"/>
    <w:rsid w:val="0034354C"/>
    <w:rsid w:val="00347506"/>
    <w:rsid w:val="00350699"/>
    <w:rsid w:val="00351D24"/>
    <w:rsid w:val="003528B2"/>
    <w:rsid w:val="003534FC"/>
    <w:rsid w:val="00354696"/>
    <w:rsid w:val="0035682E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3463"/>
    <w:rsid w:val="003B6B03"/>
    <w:rsid w:val="003C1801"/>
    <w:rsid w:val="003C459F"/>
    <w:rsid w:val="003C6873"/>
    <w:rsid w:val="003C6E38"/>
    <w:rsid w:val="003C7AB3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2568"/>
    <w:rsid w:val="004134D7"/>
    <w:rsid w:val="00414894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9187E"/>
    <w:rsid w:val="00494022"/>
    <w:rsid w:val="0049457C"/>
    <w:rsid w:val="00495906"/>
    <w:rsid w:val="00495AA5"/>
    <w:rsid w:val="004A1DA0"/>
    <w:rsid w:val="004A2F6A"/>
    <w:rsid w:val="004A636E"/>
    <w:rsid w:val="004B47A7"/>
    <w:rsid w:val="004B72CF"/>
    <w:rsid w:val="004C006E"/>
    <w:rsid w:val="004C0D1C"/>
    <w:rsid w:val="004C133A"/>
    <w:rsid w:val="004C1E6C"/>
    <w:rsid w:val="004C3A99"/>
    <w:rsid w:val="004C5755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3777"/>
    <w:rsid w:val="004E40D0"/>
    <w:rsid w:val="004E5683"/>
    <w:rsid w:val="004F0A76"/>
    <w:rsid w:val="004F16DD"/>
    <w:rsid w:val="004F472D"/>
    <w:rsid w:val="004F4C47"/>
    <w:rsid w:val="004F562F"/>
    <w:rsid w:val="004F7559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47B35"/>
    <w:rsid w:val="00550740"/>
    <w:rsid w:val="00551A0E"/>
    <w:rsid w:val="00553D3B"/>
    <w:rsid w:val="00555133"/>
    <w:rsid w:val="00557732"/>
    <w:rsid w:val="005650CD"/>
    <w:rsid w:val="005707E2"/>
    <w:rsid w:val="005738C3"/>
    <w:rsid w:val="00574D50"/>
    <w:rsid w:val="0057624D"/>
    <w:rsid w:val="0058079A"/>
    <w:rsid w:val="00581E6D"/>
    <w:rsid w:val="00583E99"/>
    <w:rsid w:val="005844A0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B79FC"/>
    <w:rsid w:val="005C1967"/>
    <w:rsid w:val="005C2817"/>
    <w:rsid w:val="005C2A2F"/>
    <w:rsid w:val="005C6A94"/>
    <w:rsid w:val="005D35B2"/>
    <w:rsid w:val="005D38CC"/>
    <w:rsid w:val="005D5107"/>
    <w:rsid w:val="005D69F7"/>
    <w:rsid w:val="005D7B64"/>
    <w:rsid w:val="005E2125"/>
    <w:rsid w:val="005E231C"/>
    <w:rsid w:val="005E5157"/>
    <w:rsid w:val="005E7193"/>
    <w:rsid w:val="005E7D5E"/>
    <w:rsid w:val="005F2AB1"/>
    <w:rsid w:val="00604ED6"/>
    <w:rsid w:val="00606CBD"/>
    <w:rsid w:val="00607861"/>
    <w:rsid w:val="00614C64"/>
    <w:rsid w:val="0062233D"/>
    <w:rsid w:val="00622BE0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54ADA"/>
    <w:rsid w:val="00656534"/>
    <w:rsid w:val="00656724"/>
    <w:rsid w:val="00666159"/>
    <w:rsid w:val="0066703B"/>
    <w:rsid w:val="00670A47"/>
    <w:rsid w:val="00672A62"/>
    <w:rsid w:val="006731A1"/>
    <w:rsid w:val="006733BF"/>
    <w:rsid w:val="00673BA0"/>
    <w:rsid w:val="00675771"/>
    <w:rsid w:val="00677501"/>
    <w:rsid w:val="006815D6"/>
    <w:rsid w:val="00683423"/>
    <w:rsid w:val="00684A43"/>
    <w:rsid w:val="00685B76"/>
    <w:rsid w:val="00687991"/>
    <w:rsid w:val="00690747"/>
    <w:rsid w:val="00690E73"/>
    <w:rsid w:val="006910B3"/>
    <w:rsid w:val="00694A84"/>
    <w:rsid w:val="0069509D"/>
    <w:rsid w:val="006973BE"/>
    <w:rsid w:val="006A15F7"/>
    <w:rsid w:val="006A4067"/>
    <w:rsid w:val="006B17D2"/>
    <w:rsid w:val="006B4424"/>
    <w:rsid w:val="006B5FE5"/>
    <w:rsid w:val="006B7047"/>
    <w:rsid w:val="006C03AE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14C1B"/>
    <w:rsid w:val="00715E24"/>
    <w:rsid w:val="00716068"/>
    <w:rsid w:val="007170E7"/>
    <w:rsid w:val="00717952"/>
    <w:rsid w:val="00720A08"/>
    <w:rsid w:val="00721CA3"/>
    <w:rsid w:val="00722E93"/>
    <w:rsid w:val="007240E2"/>
    <w:rsid w:val="00725576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72FB"/>
    <w:rsid w:val="00787325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E01"/>
    <w:rsid w:val="007C520C"/>
    <w:rsid w:val="007C6606"/>
    <w:rsid w:val="007C77B4"/>
    <w:rsid w:val="007D0C7C"/>
    <w:rsid w:val="007D1BF0"/>
    <w:rsid w:val="007D23BD"/>
    <w:rsid w:val="007E0BF8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1B53"/>
    <w:rsid w:val="00802982"/>
    <w:rsid w:val="008102B7"/>
    <w:rsid w:val="00810408"/>
    <w:rsid w:val="0081065D"/>
    <w:rsid w:val="0081164B"/>
    <w:rsid w:val="00812403"/>
    <w:rsid w:val="008137EF"/>
    <w:rsid w:val="00817934"/>
    <w:rsid w:val="0082000B"/>
    <w:rsid w:val="008200C7"/>
    <w:rsid w:val="00821DC3"/>
    <w:rsid w:val="00823346"/>
    <w:rsid w:val="008244D5"/>
    <w:rsid w:val="0082669B"/>
    <w:rsid w:val="0082731E"/>
    <w:rsid w:val="0083339A"/>
    <w:rsid w:val="00841D78"/>
    <w:rsid w:val="00842E25"/>
    <w:rsid w:val="00843E73"/>
    <w:rsid w:val="00847D6D"/>
    <w:rsid w:val="008540FB"/>
    <w:rsid w:val="00854B7A"/>
    <w:rsid w:val="008571FA"/>
    <w:rsid w:val="00860892"/>
    <w:rsid w:val="008626F3"/>
    <w:rsid w:val="008701CE"/>
    <w:rsid w:val="00874474"/>
    <w:rsid w:val="008745FB"/>
    <w:rsid w:val="008754FE"/>
    <w:rsid w:val="008758AE"/>
    <w:rsid w:val="00876FFF"/>
    <w:rsid w:val="008803D6"/>
    <w:rsid w:val="00885AE3"/>
    <w:rsid w:val="00886F20"/>
    <w:rsid w:val="00890042"/>
    <w:rsid w:val="00890C01"/>
    <w:rsid w:val="00893267"/>
    <w:rsid w:val="008A059F"/>
    <w:rsid w:val="008A6A3B"/>
    <w:rsid w:val="008B271E"/>
    <w:rsid w:val="008B425A"/>
    <w:rsid w:val="008B49E4"/>
    <w:rsid w:val="008B6ACA"/>
    <w:rsid w:val="008B75A3"/>
    <w:rsid w:val="008C1A11"/>
    <w:rsid w:val="008C1D59"/>
    <w:rsid w:val="008C6CEA"/>
    <w:rsid w:val="008D1F3B"/>
    <w:rsid w:val="008D2317"/>
    <w:rsid w:val="008D6D53"/>
    <w:rsid w:val="008D7BE6"/>
    <w:rsid w:val="008E069C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11D1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63B33"/>
    <w:rsid w:val="00964127"/>
    <w:rsid w:val="00965E4E"/>
    <w:rsid w:val="00966CE8"/>
    <w:rsid w:val="00967AC0"/>
    <w:rsid w:val="00967FD7"/>
    <w:rsid w:val="00970511"/>
    <w:rsid w:val="00970794"/>
    <w:rsid w:val="00971ED0"/>
    <w:rsid w:val="00975242"/>
    <w:rsid w:val="00977B0E"/>
    <w:rsid w:val="00987756"/>
    <w:rsid w:val="00990DF7"/>
    <w:rsid w:val="0099429C"/>
    <w:rsid w:val="00995EA9"/>
    <w:rsid w:val="00997B53"/>
    <w:rsid w:val="009A078F"/>
    <w:rsid w:val="009A34FB"/>
    <w:rsid w:val="009A38D8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1131"/>
    <w:rsid w:val="00A02798"/>
    <w:rsid w:val="00A02F6D"/>
    <w:rsid w:val="00A04F4E"/>
    <w:rsid w:val="00A069D4"/>
    <w:rsid w:val="00A12895"/>
    <w:rsid w:val="00A1743F"/>
    <w:rsid w:val="00A23658"/>
    <w:rsid w:val="00A23E8B"/>
    <w:rsid w:val="00A30B36"/>
    <w:rsid w:val="00A32CB8"/>
    <w:rsid w:val="00A33E63"/>
    <w:rsid w:val="00A35068"/>
    <w:rsid w:val="00A426CF"/>
    <w:rsid w:val="00A4361D"/>
    <w:rsid w:val="00A436EC"/>
    <w:rsid w:val="00A45CB7"/>
    <w:rsid w:val="00A46018"/>
    <w:rsid w:val="00A5297A"/>
    <w:rsid w:val="00A57E80"/>
    <w:rsid w:val="00A602E6"/>
    <w:rsid w:val="00A61CFB"/>
    <w:rsid w:val="00A62952"/>
    <w:rsid w:val="00A62962"/>
    <w:rsid w:val="00A641F4"/>
    <w:rsid w:val="00A66FBB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B18"/>
    <w:rsid w:val="00AB3C1F"/>
    <w:rsid w:val="00AB43A2"/>
    <w:rsid w:val="00AC23EC"/>
    <w:rsid w:val="00AC5196"/>
    <w:rsid w:val="00AD06B2"/>
    <w:rsid w:val="00AD51A3"/>
    <w:rsid w:val="00AD6F3C"/>
    <w:rsid w:val="00AE076A"/>
    <w:rsid w:val="00AE3047"/>
    <w:rsid w:val="00AF251E"/>
    <w:rsid w:val="00AF4DC9"/>
    <w:rsid w:val="00AF69FE"/>
    <w:rsid w:val="00AF7008"/>
    <w:rsid w:val="00AF737A"/>
    <w:rsid w:val="00B014A9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56B"/>
    <w:rsid w:val="00B22CF8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60587"/>
    <w:rsid w:val="00B630C2"/>
    <w:rsid w:val="00B638DB"/>
    <w:rsid w:val="00B6525C"/>
    <w:rsid w:val="00B67A59"/>
    <w:rsid w:val="00B67F5C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A7EDF"/>
    <w:rsid w:val="00BB0070"/>
    <w:rsid w:val="00BB058C"/>
    <w:rsid w:val="00BB13A9"/>
    <w:rsid w:val="00BB1B2B"/>
    <w:rsid w:val="00BB297F"/>
    <w:rsid w:val="00BB62E5"/>
    <w:rsid w:val="00BC6836"/>
    <w:rsid w:val="00BD0162"/>
    <w:rsid w:val="00BD0997"/>
    <w:rsid w:val="00BD0B68"/>
    <w:rsid w:val="00BD0DC7"/>
    <w:rsid w:val="00BD2AD6"/>
    <w:rsid w:val="00BD3BF1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6A25"/>
    <w:rsid w:val="00BF6FAD"/>
    <w:rsid w:val="00C01D71"/>
    <w:rsid w:val="00C01ED0"/>
    <w:rsid w:val="00C028FC"/>
    <w:rsid w:val="00C03703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1E44"/>
    <w:rsid w:val="00C45991"/>
    <w:rsid w:val="00C4617B"/>
    <w:rsid w:val="00C55FB3"/>
    <w:rsid w:val="00C57214"/>
    <w:rsid w:val="00C60C66"/>
    <w:rsid w:val="00C707C5"/>
    <w:rsid w:val="00C73D0C"/>
    <w:rsid w:val="00C75A9A"/>
    <w:rsid w:val="00C80A94"/>
    <w:rsid w:val="00C80F43"/>
    <w:rsid w:val="00C841E8"/>
    <w:rsid w:val="00C85A1B"/>
    <w:rsid w:val="00C85ABF"/>
    <w:rsid w:val="00C86581"/>
    <w:rsid w:val="00C9063F"/>
    <w:rsid w:val="00C90656"/>
    <w:rsid w:val="00C91101"/>
    <w:rsid w:val="00C91D12"/>
    <w:rsid w:val="00C94520"/>
    <w:rsid w:val="00C94C4F"/>
    <w:rsid w:val="00C962C9"/>
    <w:rsid w:val="00C9731E"/>
    <w:rsid w:val="00CA3A81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7F84"/>
    <w:rsid w:val="00CD5784"/>
    <w:rsid w:val="00CD64DB"/>
    <w:rsid w:val="00CD7100"/>
    <w:rsid w:val="00CE032B"/>
    <w:rsid w:val="00CE40D8"/>
    <w:rsid w:val="00CE43E3"/>
    <w:rsid w:val="00CE44D7"/>
    <w:rsid w:val="00CF28A7"/>
    <w:rsid w:val="00CF480F"/>
    <w:rsid w:val="00D10177"/>
    <w:rsid w:val="00D1072C"/>
    <w:rsid w:val="00D156F0"/>
    <w:rsid w:val="00D17143"/>
    <w:rsid w:val="00D206CF"/>
    <w:rsid w:val="00D21E75"/>
    <w:rsid w:val="00D24D72"/>
    <w:rsid w:val="00D262F6"/>
    <w:rsid w:val="00D31370"/>
    <w:rsid w:val="00D3281A"/>
    <w:rsid w:val="00D375E0"/>
    <w:rsid w:val="00D37C6D"/>
    <w:rsid w:val="00D407F1"/>
    <w:rsid w:val="00D4185A"/>
    <w:rsid w:val="00D45D73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70470"/>
    <w:rsid w:val="00D7211B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10C8"/>
    <w:rsid w:val="00E03C20"/>
    <w:rsid w:val="00E12082"/>
    <w:rsid w:val="00E1311F"/>
    <w:rsid w:val="00E13D67"/>
    <w:rsid w:val="00E16216"/>
    <w:rsid w:val="00E172AF"/>
    <w:rsid w:val="00E21AB8"/>
    <w:rsid w:val="00E21CFE"/>
    <w:rsid w:val="00E23FB6"/>
    <w:rsid w:val="00E2658E"/>
    <w:rsid w:val="00E27352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50023"/>
    <w:rsid w:val="00E52835"/>
    <w:rsid w:val="00E54E25"/>
    <w:rsid w:val="00E56162"/>
    <w:rsid w:val="00E61BAB"/>
    <w:rsid w:val="00E62AAE"/>
    <w:rsid w:val="00E6380F"/>
    <w:rsid w:val="00E644A1"/>
    <w:rsid w:val="00E64DCF"/>
    <w:rsid w:val="00E70572"/>
    <w:rsid w:val="00E71F93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1EC4"/>
    <w:rsid w:val="00EB0D44"/>
    <w:rsid w:val="00EB1DC7"/>
    <w:rsid w:val="00EB2035"/>
    <w:rsid w:val="00EB5CBB"/>
    <w:rsid w:val="00EB6CCA"/>
    <w:rsid w:val="00EC460C"/>
    <w:rsid w:val="00EC4E66"/>
    <w:rsid w:val="00EC7305"/>
    <w:rsid w:val="00EC7498"/>
    <w:rsid w:val="00EC7D93"/>
    <w:rsid w:val="00ED164C"/>
    <w:rsid w:val="00ED3813"/>
    <w:rsid w:val="00ED6092"/>
    <w:rsid w:val="00EE5F2C"/>
    <w:rsid w:val="00EE6009"/>
    <w:rsid w:val="00EF0883"/>
    <w:rsid w:val="00EF3E19"/>
    <w:rsid w:val="00EF6F7C"/>
    <w:rsid w:val="00F01524"/>
    <w:rsid w:val="00F02DF8"/>
    <w:rsid w:val="00F03F76"/>
    <w:rsid w:val="00F04730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5397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FB9"/>
    <w:rsid w:val="00F95806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2377"/>
    <w:rsid w:val="00FE24F9"/>
    <w:rsid w:val="00FE3A05"/>
    <w:rsid w:val="00FF1B0F"/>
    <w:rsid w:val="00FF360B"/>
    <w:rsid w:val="00FF6B4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F756-067C-4B2C-9ECF-A8906690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5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郑川川</cp:lastModifiedBy>
  <cp:revision>9</cp:revision>
  <cp:lastPrinted>2024-03-29T07:44:00Z</cp:lastPrinted>
  <dcterms:created xsi:type="dcterms:W3CDTF">2025-11-21T06:51:00Z</dcterms:created>
  <dcterms:modified xsi:type="dcterms:W3CDTF">2025-11-27T05:26:00Z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