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559B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eastAsia="微软雅黑"/>
          <w:bCs/>
          <w:iCs/>
          <w:color w:val="000000"/>
          <w:sz w:val="24"/>
        </w:rPr>
        <w:t>688343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证券简称：云天励飞</w:t>
      </w:r>
    </w:p>
    <w:p w14:paraId="16D477A9">
      <w:pPr>
        <w:spacing w:before="156" w:beforeLines="50" w:after="156" w:afterLines="50" w:line="400" w:lineRule="exact"/>
        <w:ind w:firstLine="643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深圳云天励飞技术股份有限公司</w:t>
      </w:r>
    </w:p>
    <w:p w14:paraId="6B7BAE92">
      <w:pPr>
        <w:spacing w:before="156" w:beforeLines="50" w:after="156" w:afterLines="50" w:line="400" w:lineRule="exact"/>
        <w:ind w:firstLine="643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2E582DA">
      <w:pPr>
        <w:spacing w:before="156" w:beforeLines="50" w:after="156" w:afterLines="50" w:line="400" w:lineRule="exact"/>
        <w:ind w:firstLine="643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（</w:t>
      </w:r>
      <w:r>
        <w:rPr>
          <w:b/>
          <w:bCs/>
          <w:iCs/>
          <w:color w:val="000000"/>
          <w:sz w:val="32"/>
          <w:szCs w:val="32"/>
        </w:rPr>
        <w:t>2025年</w:t>
      </w:r>
      <w:r>
        <w:rPr>
          <w:rFonts w:hint="eastAsia"/>
          <w:b/>
          <w:bCs/>
          <w:iCs/>
          <w:color w:val="000000"/>
          <w:sz w:val="32"/>
          <w:szCs w:val="32"/>
        </w:rPr>
        <w:t>1</w:t>
      </w:r>
      <w:r>
        <w:rPr>
          <w:b/>
          <w:bCs/>
          <w:iCs/>
          <w:color w:val="000000"/>
          <w:sz w:val="32"/>
          <w:szCs w:val="32"/>
        </w:rPr>
        <w:t>2月9日</w:t>
      </w:r>
      <w:r>
        <w:rPr>
          <w:rFonts w:hint="eastAsia"/>
          <w:b/>
          <w:bCs/>
          <w:iCs/>
          <w:color w:val="000000"/>
          <w:sz w:val="32"/>
          <w:szCs w:val="32"/>
        </w:rPr>
        <w:t>）</w:t>
      </w:r>
    </w:p>
    <w:p w14:paraId="2EE3C942">
      <w:pPr>
        <w:spacing w:before="156" w:beforeLines="50" w:line="400" w:lineRule="exact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</w:rPr>
        <w:t>编号：</w:t>
      </w:r>
      <w:r>
        <w:rPr>
          <w:bCs/>
          <w:iCs/>
          <w:color w:val="000000"/>
          <w:sz w:val="24"/>
        </w:rPr>
        <w:t>2025-019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34"/>
      </w:tblGrid>
      <w:tr w14:paraId="4F8E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1244D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4C4791">
            <w:pPr>
              <w:spacing w:line="360" w:lineRule="auto"/>
            </w:pPr>
            <w:r>
              <w:rPr>
                <w:rFonts w:ascii="Segoe UI Symbol" w:hAnsi="Segoe UI Symbol" w:cs="Segoe UI Symbol"/>
                <w:sz w:val="24"/>
              </w:rPr>
              <w:t>☑</w:t>
            </w:r>
            <w:r>
              <w:rPr>
                <w:rFonts w:ascii="宋体" w:hAnsi="宋体" w:cs="宋体"/>
                <w:sz w:val="24"/>
              </w:rPr>
              <w:t>特定对象调研   □分析师会议</w:t>
            </w:r>
          </w:p>
          <w:p w14:paraId="00BDBC9A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 xml:space="preserve">□媒体采访   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业绩说明会</w:t>
            </w:r>
          </w:p>
          <w:p w14:paraId="56364671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□新闻发布会     □路演活动</w:t>
            </w:r>
          </w:p>
          <w:p w14:paraId="1614AF15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□现场参观       □其他</w:t>
            </w:r>
          </w:p>
        </w:tc>
      </w:tr>
      <w:tr w14:paraId="70D2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E1B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7E42B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华福资管、上海森锦投资、弘毅远方基金、上海盛酬亿利资管、小鳄资产、国联民生证券6家机构的代表，共计7人。</w:t>
            </w:r>
          </w:p>
        </w:tc>
      </w:tr>
      <w:tr w14:paraId="6968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F3E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DED9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2025年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2月</w:t>
            </w: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日</w:t>
            </w:r>
          </w:p>
        </w:tc>
      </w:tr>
      <w:tr w14:paraId="753A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A95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877B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线下：外部其他场所</w:t>
            </w:r>
          </w:p>
        </w:tc>
      </w:tr>
      <w:tr w14:paraId="4CB8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B9231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74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投资总监：韩暘先生</w:t>
            </w:r>
          </w:p>
        </w:tc>
      </w:tr>
      <w:tr w14:paraId="2AFE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995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923ED2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FBB32F">
            <w:pPr>
              <w:widowControl/>
              <w:spacing w:line="360" w:lineRule="auto"/>
              <w:ind w:firstLine="0" w:firstLineChars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一、公司情况介绍</w:t>
            </w:r>
          </w:p>
          <w:p w14:paraId="2D72C77C">
            <w:pPr>
              <w:widowControl/>
              <w:ind w:leftChars="0" w:firstLine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二、</w:t>
            </w:r>
            <w:r>
              <w:rPr>
                <w:b/>
                <w:bCs/>
                <w:sz w:val="24"/>
              </w:rPr>
              <w:t>Q&amp;A</w:t>
            </w:r>
          </w:p>
          <w:p w14:paraId="4EF74A7B"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24"/>
              </w:rPr>
              <w:t>介绍下公司在N</w:t>
            </w:r>
            <w:r>
              <w:rPr>
                <w:b/>
                <w:bCs/>
                <w:sz w:val="24"/>
              </w:rPr>
              <w:t>PU</w:t>
            </w:r>
            <w:r>
              <w:rPr>
                <w:rFonts w:hint="eastAsia"/>
                <w:b/>
                <w:bCs/>
                <w:sz w:val="24"/>
              </w:rPr>
              <w:t>方面的技术储备，以及下一代芯片的技术路线？</w:t>
            </w:r>
          </w:p>
          <w:p w14:paraId="683C62C3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答：公司长期专注于AI推理芯片的研发设计及商业化，是全球第一批提出NPU驱动的AI推理芯片概念并商业化落地的公司，目前已完成四代NPU的研发和商业化。在</w:t>
            </w:r>
            <w:r>
              <w:rPr>
                <w:rFonts w:hint="eastAsia"/>
                <w:sz w:val="24"/>
                <w:lang w:val="en-US" w:eastAsia="zh-CN"/>
              </w:rPr>
              <w:t>研发过</w:t>
            </w:r>
            <w:r>
              <w:rPr>
                <w:rFonts w:hint="eastAsia"/>
                <w:sz w:val="24"/>
              </w:rPr>
              <w:t>程中，公司沉淀了一系列发明专利并在多领域形成典型应用示范，为我国神经网络处理器芯片产业标准化生态的健康、稳定发展贡献力量。目前公司</w:t>
            </w:r>
            <w:r>
              <w:rPr>
                <w:rFonts w:hint="eastAsia"/>
                <w:sz w:val="24"/>
                <w:lang w:val="en-US" w:eastAsia="zh-CN"/>
              </w:rPr>
              <w:t>在研的</w:t>
            </w:r>
            <w:r>
              <w:rPr>
                <w:rFonts w:hint="eastAsia"/>
                <w:sz w:val="24"/>
              </w:rPr>
              <w:t>N</w:t>
            </w:r>
            <w:r>
              <w:rPr>
                <w:rFonts w:hint="eastAsia"/>
                <w:sz w:val="24"/>
                <w:lang w:val="en-US" w:eastAsia="zh-CN"/>
              </w:rPr>
              <w:t>ova</w:t>
            </w:r>
            <w:r>
              <w:rPr>
                <w:rFonts w:hint="eastAsia"/>
                <w:sz w:val="24"/>
              </w:rPr>
              <w:t xml:space="preserve"> 500</w:t>
            </w:r>
            <w:r>
              <w:rPr>
                <w:rFonts w:hint="eastAsia"/>
                <w:sz w:val="24"/>
                <w:lang w:val="en-US" w:eastAsia="zh-CN"/>
              </w:rPr>
              <w:t>系列</w:t>
            </w:r>
            <w:r>
              <w:rPr>
                <w:rFonts w:hint="eastAsia"/>
                <w:sz w:val="24"/>
              </w:rPr>
              <w:t>将全面升级GPNPU架构，通过3D堆叠存储与软硬协同设计，实现生态兼容性、性能与能效三重提升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将更适合AI推理应用。</w:t>
            </w:r>
          </w:p>
          <w:p w14:paraId="487830E8">
            <w:p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2、请介绍一下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公司</w:t>
            </w:r>
            <w:r>
              <w:rPr>
                <w:rFonts w:hint="eastAsia"/>
                <w:b/>
                <w:bCs/>
                <w:sz w:val="24"/>
              </w:rPr>
              <w:t>X</w:t>
            </w:r>
            <w:r>
              <w:rPr>
                <w:b/>
                <w:bCs/>
                <w:sz w:val="24"/>
              </w:rPr>
              <w:t>6000加速卡</w:t>
            </w:r>
            <w:r>
              <w:rPr>
                <w:rFonts w:hint="eastAsia"/>
                <w:b/>
                <w:bCs/>
                <w:sz w:val="24"/>
              </w:rPr>
              <w:t>的进展情况？</w:t>
            </w:r>
          </w:p>
          <w:p w14:paraId="2920EB9F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  <w:r>
              <w:rPr>
                <w:sz w:val="24"/>
              </w:rPr>
              <w:t>公司于2024年推出的IPU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sz w:val="24"/>
              </w:rPr>
              <w:t>X6000加速卡，目前已经开始与软件企业、AI应用企业、互联网厂商等在内的多个客户进行研发对接、生</w:t>
            </w:r>
            <w:bookmarkStart w:id="0" w:name="_GoBack"/>
            <w:bookmarkEnd w:id="0"/>
            <w:r>
              <w:rPr>
                <w:sz w:val="24"/>
              </w:rPr>
              <w:t>态融合并开始商业化应用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如2025年11月</w:t>
            </w:r>
            <w:r>
              <w:rPr>
                <w:sz w:val="24"/>
              </w:rPr>
              <w:t>公司与金蝶软件达成战略合作，双方共同打造</w:t>
            </w:r>
            <w:r>
              <w:rPr>
                <w:rFonts w:hint="eastAsia"/>
                <w:sz w:val="24"/>
                <w:lang w:eastAsia="zh-CN"/>
              </w:rPr>
              <w:t>“</w:t>
            </w:r>
            <w:r>
              <w:rPr>
                <w:sz w:val="24"/>
              </w:rPr>
              <w:t>国产算力引擎+企业级软件生态</w:t>
            </w:r>
            <w:r>
              <w:rPr>
                <w:rFonts w:hint="eastAsia"/>
                <w:sz w:val="24"/>
                <w:lang w:eastAsia="zh-CN"/>
              </w:rPr>
              <w:t>”</w:t>
            </w:r>
            <w:r>
              <w:rPr>
                <w:sz w:val="24"/>
              </w:rPr>
              <w:t>的融合标杆，这将有力推动公司AI推理能力嵌入更广泛的企业数字化流程</w:t>
            </w:r>
            <w:r>
              <w:rPr>
                <w:rFonts w:hint="eastAsia"/>
                <w:sz w:val="24"/>
              </w:rPr>
              <w:t>。</w:t>
            </w:r>
          </w:p>
        </w:tc>
      </w:tr>
      <w:tr w14:paraId="3295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399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5211E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5EB5895A">
      <w:pPr>
        <w:ind w:firstLine="562"/>
        <w:jc w:val="center"/>
        <w:rPr>
          <w:rFonts w:ascii="宋体" w:hAnsi="宋体"/>
          <w:sz w:val="28"/>
          <w:szCs w:val="28"/>
        </w:rPr>
      </w:pPr>
    </w:p>
    <w:p w14:paraId="58E225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ZmU2YWZhNDAzYjJjMTgyNzQ3NGMzOTI4ODQwNGEifQ=="/>
  </w:docVars>
  <w:rsids>
    <w:rsidRoot w:val="00DB361F"/>
    <w:rsid w:val="00005DB8"/>
    <w:rsid w:val="00005ED5"/>
    <w:rsid w:val="000904E1"/>
    <w:rsid w:val="000D6315"/>
    <w:rsid w:val="000E51D0"/>
    <w:rsid w:val="00107A0B"/>
    <w:rsid w:val="00123A01"/>
    <w:rsid w:val="001C5BA8"/>
    <w:rsid w:val="00205B8C"/>
    <w:rsid w:val="00240774"/>
    <w:rsid w:val="0027476E"/>
    <w:rsid w:val="002A4A55"/>
    <w:rsid w:val="002B086A"/>
    <w:rsid w:val="002B29A0"/>
    <w:rsid w:val="002C0D62"/>
    <w:rsid w:val="003238A9"/>
    <w:rsid w:val="00350EA0"/>
    <w:rsid w:val="00377AED"/>
    <w:rsid w:val="003A5E09"/>
    <w:rsid w:val="003C2C62"/>
    <w:rsid w:val="003C41B4"/>
    <w:rsid w:val="00404DD2"/>
    <w:rsid w:val="00487889"/>
    <w:rsid w:val="004E080D"/>
    <w:rsid w:val="004E0A03"/>
    <w:rsid w:val="004E42DE"/>
    <w:rsid w:val="004E7042"/>
    <w:rsid w:val="004F4961"/>
    <w:rsid w:val="0051637D"/>
    <w:rsid w:val="00564FEE"/>
    <w:rsid w:val="00574245"/>
    <w:rsid w:val="005D713C"/>
    <w:rsid w:val="00607023"/>
    <w:rsid w:val="00653771"/>
    <w:rsid w:val="006955E2"/>
    <w:rsid w:val="006C42AF"/>
    <w:rsid w:val="007502A8"/>
    <w:rsid w:val="00781BC0"/>
    <w:rsid w:val="00797167"/>
    <w:rsid w:val="007C302D"/>
    <w:rsid w:val="007C79EB"/>
    <w:rsid w:val="007D4DB1"/>
    <w:rsid w:val="00810590"/>
    <w:rsid w:val="008159ED"/>
    <w:rsid w:val="00833998"/>
    <w:rsid w:val="008547B7"/>
    <w:rsid w:val="0087485F"/>
    <w:rsid w:val="00875DF9"/>
    <w:rsid w:val="008F013D"/>
    <w:rsid w:val="009271A0"/>
    <w:rsid w:val="00930053"/>
    <w:rsid w:val="00932985"/>
    <w:rsid w:val="00961AC0"/>
    <w:rsid w:val="00986C92"/>
    <w:rsid w:val="00996CC7"/>
    <w:rsid w:val="00A90CB9"/>
    <w:rsid w:val="00A91CFD"/>
    <w:rsid w:val="00AA04B3"/>
    <w:rsid w:val="00B07E37"/>
    <w:rsid w:val="00B51AC9"/>
    <w:rsid w:val="00B70AAF"/>
    <w:rsid w:val="00B82364"/>
    <w:rsid w:val="00BD34FE"/>
    <w:rsid w:val="00BE36BA"/>
    <w:rsid w:val="00BE4930"/>
    <w:rsid w:val="00C23F1E"/>
    <w:rsid w:val="00C72F91"/>
    <w:rsid w:val="00CA1729"/>
    <w:rsid w:val="00CE2ACA"/>
    <w:rsid w:val="00D5509C"/>
    <w:rsid w:val="00D977F4"/>
    <w:rsid w:val="00D97C05"/>
    <w:rsid w:val="00DB361F"/>
    <w:rsid w:val="00DC5BA5"/>
    <w:rsid w:val="00DE34A3"/>
    <w:rsid w:val="00DE5217"/>
    <w:rsid w:val="00DE678C"/>
    <w:rsid w:val="00E62194"/>
    <w:rsid w:val="00E7556A"/>
    <w:rsid w:val="00EC46D1"/>
    <w:rsid w:val="00EE5BF7"/>
    <w:rsid w:val="00F00C5D"/>
    <w:rsid w:val="00F11A0C"/>
    <w:rsid w:val="00F9016A"/>
    <w:rsid w:val="00F959BE"/>
    <w:rsid w:val="028C6137"/>
    <w:rsid w:val="04D375D7"/>
    <w:rsid w:val="062E0F1B"/>
    <w:rsid w:val="06A83220"/>
    <w:rsid w:val="0B424E1A"/>
    <w:rsid w:val="0EB43068"/>
    <w:rsid w:val="13082AF4"/>
    <w:rsid w:val="16864FC3"/>
    <w:rsid w:val="177644D0"/>
    <w:rsid w:val="17E11EA2"/>
    <w:rsid w:val="18893D8F"/>
    <w:rsid w:val="1D0B4E33"/>
    <w:rsid w:val="1D4E3BA5"/>
    <w:rsid w:val="1DF93765"/>
    <w:rsid w:val="271433BD"/>
    <w:rsid w:val="28A349F9"/>
    <w:rsid w:val="2AEA4B61"/>
    <w:rsid w:val="30FA7AC8"/>
    <w:rsid w:val="31E56082"/>
    <w:rsid w:val="33705E1F"/>
    <w:rsid w:val="39F350B4"/>
    <w:rsid w:val="3ADD1FEC"/>
    <w:rsid w:val="3BBC42F8"/>
    <w:rsid w:val="3BE3293B"/>
    <w:rsid w:val="3E2B12C1"/>
    <w:rsid w:val="40AB108F"/>
    <w:rsid w:val="419450A2"/>
    <w:rsid w:val="42CA16DF"/>
    <w:rsid w:val="43B810F6"/>
    <w:rsid w:val="4EF97456"/>
    <w:rsid w:val="4F166F97"/>
    <w:rsid w:val="56A612C8"/>
    <w:rsid w:val="5758266E"/>
    <w:rsid w:val="5B5714EF"/>
    <w:rsid w:val="61515EA0"/>
    <w:rsid w:val="621647BA"/>
    <w:rsid w:val="63FE731D"/>
    <w:rsid w:val="66F531E4"/>
    <w:rsid w:val="688018A5"/>
    <w:rsid w:val="70757340"/>
    <w:rsid w:val="724539F8"/>
    <w:rsid w:val="736336B7"/>
    <w:rsid w:val="74416441"/>
    <w:rsid w:val="790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1"/>
    <w:rPr>
      <w:szCs w:val="21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9">
    <w:name w:val="Table Paragraph"/>
    <w:basedOn w:val="1"/>
    <w:autoRedefine/>
    <w:qFormat/>
    <w:uiPriority w:val="1"/>
    <w:rPr>
      <w:rFonts w:ascii="Calibri" w:hAnsi="Calibri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810</Characters>
  <Lines>7</Lines>
  <Paragraphs>1</Paragraphs>
  <TotalTime>104</TotalTime>
  <ScaleCrop>false</ScaleCrop>
  <LinksUpToDate>false</LinksUpToDate>
  <CharactersWithSpaces>941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2023-05-23T09:59:00Z</dcterms:created>
  <dc:creator>skd004</dc:creator>
  <cp:lastModifiedBy>Hannie</cp:lastModifiedBy>
  <dcterms:modified xsi:type="dcterms:W3CDTF">2025-12-10T07:21:43Z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99C42844F53549A08827236392B9D2D5_13</vt:lpwstr>
  </property>
  <property fmtid="{D5CDD505-2E9C-101B-9397-08002B2CF9AE}" pid="4" name="KSOTemplateDocerSaveRecord">
    <vt:lpwstr>eyJoZGlkIjoiYzg4ZGVhNjYzNmVhYTMyMjIyMGY1ZmZhZmM5OGYwMTMiLCJ1c2VySWQiOiIxMTQ0MzUyMzA4In0=</vt:lpwstr>
  </property>
</Properties>
</file>