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bookmarkStart w:id="0" w:name="Test1"/>
      <w:bookmarkEnd w:id="0"/>
      <w:r>
        <w:rPr>
          <w:rFonts w:hint="default" w:ascii="Times New Roman" w:hAnsi="Times New Roman" w:cs="Times New Roman"/>
          <w:bCs/>
          <w:iCs/>
          <w:color w:val="000000"/>
          <w:sz w:val="24"/>
        </w:rPr>
        <w:t xml:space="preserve">688041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rPr>
        <w:t>海光信息</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right"/>
        <w:rPr>
          <w:rFonts w:hint="eastAsia" w:ascii="Times New Roman" w:hAnsi="Times New Roman" w:eastAsia="宋体" w:cs="Times New Roman"/>
          <w:bCs/>
          <w:iCs/>
          <w:color w:val="000000"/>
          <w:sz w:val="24"/>
          <w:lang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eastAsia" w:cs="Times New Roman"/>
          <w:bCs/>
          <w:iCs/>
          <w:color w:val="000000"/>
          <w:sz w:val="24"/>
          <w:lang w:val="en-US" w:eastAsia="zh-CN"/>
        </w:rPr>
        <w:t>07</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其他_________________</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eastAsia" w:ascii="宋体" w:hAnsi="宋体" w:eastAsia="宋体" w:cs="宋体"/>
                <w:sz w:val="24"/>
                <w:szCs w:val="24"/>
                <w:lang w:val="en-US" w:eastAsia="zh-CN"/>
              </w:rPr>
              <w:t>线上参与公司</w:t>
            </w:r>
            <w:r>
              <w:rPr>
                <w:rFonts w:hint="eastAsia" w:ascii="宋体" w:hAnsi="宋体" w:cs="宋体"/>
                <w:sz w:val="24"/>
                <w:szCs w:val="24"/>
                <w:lang w:val="en-US" w:eastAsia="zh-CN"/>
              </w:rPr>
              <w:t>本次</w:t>
            </w:r>
            <w:r>
              <w:rPr>
                <w:rFonts w:hint="eastAsia" w:ascii="宋体" w:hAnsi="宋体" w:eastAsia="宋体" w:cs="宋体"/>
                <w:sz w:val="24"/>
                <w:szCs w:val="24"/>
                <w:lang w:val="en-US" w:eastAsia="zh-CN"/>
              </w:rPr>
              <w:t>说明会的投资者</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36AE0AA5">
            <w:pPr>
              <w:spacing w:line="480" w:lineRule="atLeast"/>
              <w:rPr>
                <w:bCs/>
                <w:iCs/>
                <w:color w:val="000000"/>
                <w:sz w:val="24"/>
              </w:rPr>
            </w:pPr>
            <w:bookmarkStart w:id="4" w:name="Test6"/>
            <w:bookmarkEnd w:id="4"/>
            <w:r>
              <w:rPr>
                <w:rFonts w:hint="eastAsia" w:ascii="Times New Roman" w:hAnsi="Times New Roman" w:eastAsia="宋体" w:cs="Times New Roman"/>
                <w:kern w:val="0"/>
                <w:sz w:val="24"/>
                <w:szCs w:val="24"/>
                <w:lang w:val="en-US" w:eastAsia="zh-CN" w:bidi="ar-SA"/>
              </w:rPr>
              <w:t>2025年12月10日 15:00-16:00</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spacing w:line="480" w:lineRule="atLeast"/>
              <w:rPr>
                <w:bCs/>
                <w:iCs/>
                <w:color w:val="000000"/>
                <w:sz w:val="24"/>
              </w:rPr>
            </w:pPr>
            <w:bookmarkStart w:id="5" w:name="Test7"/>
            <w:bookmarkEnd w:id="5"/>
            <w:r>
              <w:rPr>
                <w:rFonts w:hint="eastAsia" w:ascii="Times New Roman" w:hAnsi="Times New Roman" w:eastAsia="宋体" w:cs="Times New Roman"/>
                <w:kern w:val="0"/>
                <w:sz w:val="24"/>
                <w:szCs w:val="24"/>
                <w:lang w:val="en-US" w:eastAsia="zh-CN" w:bidi="ar-SA"/>
              </w:rPr>
              <w:t>价值在线（https://www.ir-online.cn/）网络互动</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0A42E3B7">
            <w:pPr>
              <w:spacing w:line="480" w:lineRule="atLeast"/>
              <w:jc w:val="left"/>
              <w:rPr>
                <w:bCs/>
                <w:iCs/>
                <w:color w:val="000000"/>
                <w:sz w:val="24"/>
              </w:rPr>
            </w:pPr>
            <w:bookmarkStart w:id="6" w:name="Test8"/>
            <w:bookmarkEnd w:id="6"/>
            <w:r>
              <w:rPr>
                <w:rFonts w:hint="eastAsia" w:ascii="Times New Roman" w:hAnsi="Times New Roman" w:eastAsia="宋体" w:cs="Times New Roman"/>
                <w:bCs/>
                <w:iCs/>
                <w:color w:val="000000"/>
                <w:kern w:val="2"/>
                <w:sz w:val="24"/>
                <w:szCs w:val="24"/>
                <w:highlight w:val="none"/>
                <w:lang w:val="en-US" w:eastAsia="zh-CN" w:bidi="ar-SA"/>
              </w:rPr>
              <w:t>董事、总经理 沙超群</w:t>
            </w:r>
            <w:r>
              <w:rPr>
                <w:rFonts w:hint="eastAsia" w:ascii="Times New Roman" w:hAnsi="Times New Roman" w:eastAsia="宋体" w:cs="Times New Roman"/>
                <w:bCs/>
                <w:iCs/>
                <w:color w:val="000000"/>
                <w:kern w:val="2"/>
                <w:sz w:val="24"/>
                <w:szCs w:val="24"/>
                <w:highlight w:val="none"/>
                <w:lang w:val="en-US" w:eastAsia="zh-CN" w:bidi="ar-SA"/>
              </w:rPr>
              <w:br w:type="textWrapping"/>
            </w:r>
            <w:r>
              <w:rPr>
                <w:rFonts w:hint="eastAsia" w:ascii="Times New Roman" w:hAnsi="Times New Roman" w:eastAsia="宋体" w:cs="Times New Roman"/>
                <w:bCs/>
                <w:iCs/>
                <w:color w:val="000000"/>
                <w:kern w:val="2"/>
                <w:sz w:val="24"/>
                <w:szCs w:val="24"/>
                <w:highlight w:val="none"/>
                <w:lang w:val="en-US" w:eastAsia="zh-CN" w:bidi="ar-SA"/>
              </w:rPr>
              <w:t>董事、副总经理、财务总监、董事会秘书 徐文超</w:t>
            </w:r>
            <w:r>
              <w:rPr>
                <w:rFonts w:hint="eastAsia" w:ascii="Times New Roman" w:hAnsi="Times New Roman" w:eastAsia="宋体" w:cs="Times New Roman"/>
                <w:bCs/>
                <w:iCs/>
                <w:color w:val="000000"/>
                <w:kern w:val="2"/>
                <w:sz w:val="24"/>
                <w:szCs w:val="24"/>
                <w:highlight w:val="none"/>
                <w:lang w:val="en-US" w:eastAsia="zh-CN" w:bidi="ar-SA"/>
              </w:rPr>
              <w:br w:type="textWrapping"/>
            </w:r>
            <w:r>
              <w:rPr>
                <w:rFonts w:hint="eastAsia" w:ascii="Times New Roman" w:hAnsi="Times New Roman" w:eastAsia="宋体" w:cs="Times New Roman"/>
                <w:bCs/>
                <w:iCs/>
                <w:color w:val="000000"/>
                <w:kern w:val="2"/>
                <w:sz w:val="24"/>
                <w:szCs w:val="24"/>
                <w:highlight w:val="none"/>
                <w:lang w:val="en-US" w:eastAsia="zh-CN" w:bidi="ar-SA"/>
              </w:rPr>
              <w:t>独立董事 黄简</w:t>
            </w:r>
            <w:r>
              <w:rPr>
                <w:rFonts w:hint="eastAsia" w:ascii="Times New Roman" w:hAnsi="Times New Roman" w:eastAsia="宋体" w:cs="Times New Roman"/>
                <w:bCs/>
                <w:iCs/>
                <w:color w:val="000000"/>
                <w:kern w:val="2"/>
                <w:sz w:val="24"/>
                <w:szCs w:val="24"/>
                <w:highlight w:val="none"/>
                <w:lang w:val="en-US" w:eastAsia="zh-CN" w:bidi="ar-SA"/>
              </w:rPr>
              <w:br w:type="textWrapping"/>
            </w:r>
            <w:r>
              <w:rPr>
                <w:rFonts w:hint="eastAsia" w:ascii="Times New Roman" w:hAnsi="Times New Roman" w:eastAsia="宋体" w:cs="Times New Roman"/>
                <w:bCs/>
                <w:iCs/>
                <w:color w:val="000000"/>
                <w:kern w:val="2"/>
                <w:sz w:val="24"/>
                <w:szCs w:val="24"/>
                <w:highlight w:val="none"/>
                <w:lang w:val="en-US" w:eastAsia="zh-CN" w:bidi="ar-SA"/>
              </w:rPr>
              <w:t>独立董事 徐艳梅</w:t>
            </w:r>
            <w:r>
              <w:rPr>
                <w:rFonts w:hint="eastAsia" w:ascii="Times New Roman" w:hAnsi="Times New Roman" w:eastAsia="宋体" w:cs="Times New Roman"/>
                <w:bCs/>
                <w:iCs/>
                <w:color w:val="000000"/>
                <w:kern w:val="2"/>
                <w:sz w:val="24"/>
                <w:szCs w:val="24"/>
                <w:highlight w:val="none"/>
                <w:lang w:val="en-US" w:eastAsia="zh-CN" w:bidi="ar-SA"/>
              </w:rPr>
              <w:br w:type="textWrapping"/>
            </w:r>
            <w:r>
              <w:rPr>
                <w:rFonts w:hint="eastAsia" w:ascii="Times New Roman" w:hAnsi="Times New Roman" w:eastAsia="宋体" w:cs="Times New Roman"/>
                <w:bCs/>
                <w:iCs/>
                <w:color w:val="000000"/>
                <w:kern w:val="2"/>
                <w:sz w:val="24"/>
                <w:szCs w:val="24"/>
                <w:highlight w:val="none"/>
                <w:lang w:val="en-US" w:eastAsia="zh-CN" w:bidi="ar-SA"/>
              </w:rPr>
              <w:t>独立董事 胡劲为</w:t>
            </w:r>
            <w:r>
              <w:rPr>
                <w:rFonts w:hint="eastAsia" w:ascii="Times New Roman" w:hAnsi="Times New Roman" w:eastAsia="宋体" w:cs="Times New Roman"/>
                <w:bCs/>
                <w:iCs/>
                <w:color w:val="000000"/>
                <w:kern w:val="2"/>
                <w:sz w:val="24"/>
                <w:szCs w:val="24"/>
                <w:highlight w:val="none"/>
                <w:lang w:val="en-US" w:eastAsia="zh-CN" w:bidi="ar-SA"/>
              </w:rPr>
              <w:br w:type="textWrapping"/>
            </w:r>
            <w:r>
              <w:rPr>
                <w:rFonts w:hint="eastAsia" w:ascii="Times New Roman" w:hAnsi="Times New Roman" w:eastAsia="宋体" w:cs="Times New Roman"/>
                <w:bCs/>
                <w:iCs/>
                <w:color w:val="000000"/>
                <w:kern w:val="2"/>
                <w:sz w:val="24"/>
                <w:szCs w:val="24"/>
                <w:highlight w:val="none"/>
                <w:lang w:val="en-US" w:eastAsia="zh-CN" w:bidi="ar-SA"/>
              </w:rPr>
              <w:t>独立董事 张瑞萍</w:t>
            </w:r>
            <w:r>
              <w:rPr>
                <w:rFonts w:hint="eastAsia" w:ascii="Times New Roman" w:hAnsi="Times New Roman" w:eastAsia="宋体" w:cs="Times New Roman"/>
                <w:bCs/>
                <w:iCs/>
                <w:color w:val="000000"/>
                <w:kern w:val="2"/>
                <w:sz w:val="24"/>
                <w:szCs w:val="24"/>
                <w:highlight w:val="none"/>
                <w:lang w:val="en-US" w:eastAsia="zh-CN" w:bidi="ar-SA"/>
              </w:rPr>
              <w:br w:type="textWrapping"/>
            </w:r>
            <w:r>
              <w:rPr>
                <w:rFonts w:hint="eastAsia" w:ascii="Times New Roman" w:hAnsi="Times New Roman" w:eastAsia="宋体" w:cs="Times New Roman"/>
                <w:bCs/>
                <w:iCs/>
                <w:color w:val="000000"/>
                <w:kern w:val="2"/>
                <w:sz w:val="24"/>
                <w:szCs w:val="24"/>
                <w:highlight w:val="none"/>
                <w:lang w:val="en-US" w:eastAsia="zh-CN" w:bidi="ar-SA"/>
              </w:rPr>
              <w:t>中介机构 独立财务顾问</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0AC7F3E1">
            <w:pPr>
              <w:widowControl/>
              <w:numPr>
                <w:ilvl w:val="0"/>
                <w:numId w:val="0"/>
              </w:numPr>
              <w:pBdr>
                <w:left w:val="none" w:color="auto" w:sz="0" w:space="0"/>
              </w:pBdr>
              <w:spacing w:line="480" w:lineRule="atLeast"/>
              <w:ind w:firstLine="0" w:firstLineChars="0"/>
              <w:jc w:val="left"/>
              <w:rPr>
                <w:bCs/>
                <w:iCs/>
                <w:color w:val="000000"/>
                <w:sz w:val="24"/>
                <w:lang w:bidi="ar"/>
              </w:rPr>
            </w:pPr>
            <w:bookmarkStart w:id="7" w:name="Test9"/>
            <w:bookmarkEnd w:id="7"/>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w:t>
            </w:r>
            <w:r>
              <w:rPr>
                <w:rFonts w:hint="eastAsia" w:ascii="宋体" w:hAnsi="宋体" w:cs="宋体"/>
                <w:b/>
                <w:bCs/>
                <w:i w:val="0"/>
                <w:iCs w:val="0"/>
                <w:caps w:val="0"/>
                <w:spacing w:val="0"/>
                <w:kern w:val="0"/>
                <w:sz w:val="24"/>
                <w:szCs w:val="24"/>
                <w:shd w:val="clear"/>
                <w:lang w:val="en-US" w:eastAsia="zh-CN" w:bidi="ar-SA"/>
              </w:rPr>
              <w:t>1.此次重组终止被归因于“”市场环境变化”和“实施条件不成熟”，能否具体说明当前市场环境与年初筹划重组时相比发生了哪些关键变化？为何条件不成熟了？公司是否评估过重启类似整合的可能性？</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本次重组交易方案披露以来，吸并双方的二级市场股价变化较大。公司在筹备本次重组时已对交易方案进行充分、审慎的论证，但市场环境变化有不可预计性。加之本次重组合并规模大、参与方多，各方视角不同导致未能成功。未来双方将保持上市公司独立性，同时双方公司已有的协同模式会继续保持，仍会通过战略协作共同消除产业链薄弱环节。终止本次交易事项系经公司审慎研究，并与交易对方充分沟通、友好协商后做出的决定。公司生产经营情况正常，本次交易终止不会对公司的生产经营和财务状况造成重大不利影响，不存在损害公司及中小股东利益的情形。公司对长期以来关注和支持公司发展并积极提出建议的投资者表示衷心感谢。</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w:t>
            </w:r>
            <w:r>
              <w:rPr>
                <w:rFonts w:hint="eastAsia" w:ascii="宋体" w:hAnsi="宋体" w:cs="宋体"/>
                <w:b/>
                <w:bCs/>
                <w:i w:val="0"/>
                <w:iCs w:val="0"/>
                <w:caps w:val="0"/>
                <w:spacing w:val="0"/>
                <w:kern w:val="0"/>
                <w:sz w:val="24"/>
                <w:szCs w:val="24"/>
                <w:shd w:val="clear"/>
                <w:lang w:val="en-US" w:eastAsia="zh-CN" w:bidi="ar-SA"/>
              </w:rPr>
              <w:t>2.公告中强调“产业协同与合作不受影响”，请问未来双方在算力芯片、数据中心等领域的合作是否会以更灵活的形式推进？是否有具体的技术或市场协同计划？</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海光信息将继续以高端芯片产品为核心，充分发挥产品在功能、性能、生态和安全方面的独特优势，联合包括中科曙光在内的广大产业链上下游企业和其他参与者继续推进海光生态下软硬件优化协同技术研发。海光信息将与中科曙光在系统级产品应用上建立更加紧密的合作关系，充分发挥中科曙光在超节点算力、科学大模型开发平台、集群系统等前沿技术的优势，持续在智能计算、算力调度、数据中心解决方案等领域开展全栈布局。</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3.作为国产算力领域的两大龙头，此次重组终止是否会对行业集中度提升及生态链整合节奏产生影响？您如何看待国内算力产业“上下游协同”与“独立发展”两种路径的平衡？</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重的投资者，您好！两家公司重组可能形成垂直一体化产业体系，在产业链纵向整合上实现降本增效、技术协同上加速创新等优势。而不重组两家独立经营运作也在企业自身发展、产业生态、市场竞争三个维度具有显著优势，两家公司均属于当前我国算力产业的龙头企业，具有明显的领先技术底蕴，在自身技术迭代发展和资本市场助力的双螺旋作用下，两家公司独立发展也具有充足的市场空间。海光信息作为独立芯片供应商，为整个国产服务器行业提供核心算力芯片；中科曙光则作为整机厂商与其他芯片企业合作，形成“芯片厂商竞争 + 整机厂商择优采购” 的市场化生态，推动国产算力产业链的多元协作与良性竞争。当前没有实现重组，对两家公司的经营发展不会产生大的影响。</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4.此次交易曾被视作《重组管理办法》修订后的标杆案例，但在实际推进中遇到哪些超出预期的障碍？</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敬的投资者，您好！本次交易终止，主要由于交易规模较大、涉及相关方较多，重大资产重组方案论证历时较长，市场环境较本次交易筹划之初发生较大变化，实施重大资产重组的条件尚不成熟，经公司与交易各相关方友好协商、认真研究和充分论证，基于审慎性考虑，决定终止本次交易事项。</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5.终止重组后，公司是否会重新评估外延式增长策略？在半导体行业并购潮兴起的背景下，公司是否在考虑其他形式的产业整合？</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答:尊敬的投资者，您好！公司将根据自身业务发展需要，视情况开展产业链整合。</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6.为什么11月29日的公告还显示积极推进，短短十天后就说终止了？</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公司在筹备本次重组时，交易各方积极全力推进本次交易的实施，11月29日公司及相关各方尚在协调过程中，未决定终止本次交易。12月10日是自吸并重组事项首次董事会决议公告后6个月期满时间，重组相关条件仍不具备，公司公告终止交易。公司对本次终止筹划重大资产重组对广大投资者造成的不便深表歉意，同时对长期以来关注和支持公司发展并积极提出建议的投资者表示衷心感谢。</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7.本次收购中科曙光重组计划中止，会不会影响贵公司的未来发展规划和年报</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答:目前公司生产经营情况正常，本次交易终止不会对公司的生产经营和财务状况造成重大不利影响，不存在损害公司及中小股东利益的情形。感谢您的关注！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8.从长远看双方的合并是否仍然为“众望所归”的事项？</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虽然两个公司当前并购重组不能实施，但是，两个公司具有独立的市场化运作与专业化发展路径，分别聚焦算力基础设施集成和高端芯片设计的核心赛道，仍能够从产业协同合作角度实现从芯片设计到算力服务的全链条协同发展。海光信息将继续作为独立芯片供应商，为整个国产服务器行业提供核心算力芯片，推动国产算力产业链的多元协作与良性竞争。感谢您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9.Q1：重组推进近 7 个月，管理层在何时首次判断本次交易可能难以落地？为何直到12月才作出终止决定？
Q2：半年的论证过程中，主要卡在哪些关键环节，导致迟迟无法确认方案可行性？
Q3：终止公告提到的市场环境变化是二级市场波动、行业格局变化，还是监管环境有所变化？
Q4：本次重组的券商、会计师、律师、评估等中介费用由哪一方承担？是否影响当期利润？
Q5：是否存在对交易影响重大的监管或政策因素，在合规范围内能否给出具体说明？
Q6：公司是否计划在 1–2 年内继续推动新的资本整合或并购？</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公司在筹备本次重组时，交易各方积极全力推进本次交易的实施，12月10日是自吸并重组事项首次董事会决议公告后6个月期满时间，重组相关条件仍不具备，公司公告终止交易。市场环境变化的一个体现是交易双方的二级市场股价相比预案时发生了较大变化。自今年6月10日本次重组预案披露至8月中旬，吸并双方的股价走势基本平稳，表明重组方案本身并未对双方股价产生重大影响。自8月中旬以来，受国内国际环境变化、A股市场整体走势、AI产业热度变化及市场预期等复杂因素的影响，吸并双方股价开始了整体上涨并呈现较大波动的态势。两家公司股价的走势并非单独个体现象，而是与同期A股芯片、人工智能、算力等行业概念股票的走势呈现较大的相关性。</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10.“市场环境较本次交易筹划之初发生较大变化，实施重大资产重组的条件尚不成熟”，具体市场环境变化指什么？哪些条件不成熟？</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敬的投资者，您好！本次交易自启动以来，公司及相关各方积极推动本次交易的各项工作，由于本次交易规模较大、涉及相关方较多，使得重大资产重组方案论证历时较长，目前市场环境较本次交易筹划之初发生较大变化。市场环境变化的一个体现是交易双方的二级市场股价相比预案时发生了较大变化。自今年6月10日本次重组预案披露至8月中旬，吸并双方的股价走势基本平稳，表明重组方案本身并未对双方股价产生重大影响。自8月中旬以来，受国内国际环境变化、A股市场整体走势、AI产业热度变化及市场预期等复杂因素的影响，吸并双方股价开始了整体上涨并呈现较大波动的态势。两家公司股价的走势并非单独个体现象，而是与同期A股芯片、人工智能、算力等行业概念股票的走势呈现较大的相关性。
因本次实施重大资产重组的条件尚不成熟，为切实维护上市公司和广大投资者长期利益，经公司与交易各相关方友好协商、认真研究和充分论证，基于审慎性考虑，决定终止本次交易事项。本次交易终止不存在其他未披露的重大分歧。</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11.1.终止重组公告中所提及的“市场环境较本次交易筹划之初发生较大变化”具体是指什么呢？和双方股票在二级市场的走势有关吗？还是就当前股价对换股比例产生了分歧？亦或是中小股东对海光高估值或曙光低估值的不满？
2.终止重组是否考虑到了双方的客户独立性问题？终止重组是否是为了保持海光的第三方中立身份？
3.原本的重组计划涉及到两家公司的资源整合，最初的停牌公告中也表明本次重组目的是“为抢抓信息技术产业发展新机遇，做大做强主业”，那终止后两家公司在未来战略发展上新的规划安排是怎么样的呢？如何界定研发边界，避免重复投入呢？
4.海光作为独立第三方芯片厂商的定位，与中科曙光作为大股东的整合诉求，两者之间是否存在长期的战略互斥？
5.终止重组是否意味着双方确认了“保持独立运营”比“一体化整合”更能实现股东利益最大化？</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本次交易自启动以来，交易双方的二级市场股价相比预案时发生了较大变化。自6月10日预案披露至8月中旬，吸并双方的股价走势基本平稳，表明重组方案本身并未对双方股价产生重大影响。自8月中旬以来，受国内国际环境变化、A股市场整体走势、AI产业热度变化及市场预期等复杂因素的影响，吸并双方股价开始了整体上涨并呈现较大波动的态势。两家公司股价的走势并非单独个体现象，而是与同期A股芯片、人工智能、算力等行业概念股票的走势呈现较大的相关性。因本次实施重大资产重组的条件尚不成熟，为切实维护上市公司和广大投资者长期利益，经公司与交易各相关方友好协商、认真研究和充分论证，基于审慎性考虑，决定终止本次交易事项。两家公司具有独立的市场化运作与专业化发展路径，分别聚焦算力基础设施集成和高端芯片设计的核心赛道，仍能够从产业协同合作角度实现从芯片设计到算力服务的全链条协同发展。海光信息将继续作为独立芯片供应商，为整个国产服务器行业提供核心算力芯片，推动国产算力产业链的多元协作与良性竞争。</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12.这次重组失败，后续双方合作是否会有影响？公司股权比较分散，双方公司股东，是不是存在较大意见？</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答:公司长期以来与中科曙光保持良好的产业协同与合作，本次重大资产重组的终止不影响双方后续的持续合作。</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13.据悉，双方在计算生态圈层中已形成“分工互补”的格局，满足了我国人工智能产业对多元算力供给和专业化计算服务的需求。请简单介绍两家公司“分工互补”的具体情况。</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答:双方合作一直以来通过战略协同消除产业链薄弱环节，海光聚焦芯片研发，曙光是算力系统技术的重要力量，双方通过协同合作，共同提升竞争力，消除产业链的薄弱环节。感谢您的关注。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14.此前在一季度业绩说明会上，双方表示将聚集核心优势力量共同投入高端芯片及解决方案研发，以更有竞争力的一体化技术方案提升产品与服务的客户满意度，进一步推动国产芯片在政务、金融、通信、能源等关键行业的规模化应用，推动我国信息产业健康发展。请问：共同投入高端芯片及解决方案研发这一计划，是否会因二者重组终止而改变？</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答:公司长期以来与中科曙光保持良好的产业协同与合作，本次重大资产重组的终止不影响双方后续的持续合作。感谢您的关注！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15.英伟达H200获准对华出口，附带销售分成等条件但性能优势明显，且CUDA生态仍有较强粘性。请问公司如何看待这款芯片入华对国内高端芯片市场竞争格局的整体影响？公司DCU在产品定位、市场拓展上会做出哪些适应性调整，以巩固自身竞争优势？</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H200入华或将加剧国内高端芯片市场竞争，但其附带销售分成推高采购成本，市场渗透仍然存在挑战。公司DCU将强化性能对标与生态兼容，突出安全合规与性价比优势，聚焦细分场景定制，深化客户标杆案例与行业下沉，以巩固竞争地位。</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16.公司与中科曙光终止重大资产重组，公告提及 “市场环境变化导致实施条件不成熟”。请问本次并购终止后，公司原计划通过整合实现的产业链协同效应，将通过哪些替代方式实现？未来与中科曙光在技术研发、市场渠道等方面的合作模式会有哪些新的规划？</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敬的投资者，您好！两家企业基于各自的核心的定位，各自的核心的竞争力，在保持上市公司独立性的基础上，加强战略协同。海光聚焦CPU、DCU芯片，曙光在超节点算力、科学大模型开发平台、集群系统等前沿技术上与公司开展更深入的合作。</w:t>
            </w:r>
            <w:r>
              <w:rPr>
                <w:rFonts w:hint="eastAsia" w:cs="Times New Roman"/>
                <w:b/>
                <w:i w:val="0"/>
                <w:iCs/>
                <w:caps w:val="0"/>
                <w:color w:val="000000"/>
                <w:spacing w:val="0"/>
                <w:sz w:val="24"/>
                <w:szCs w:val="24"/>
                <w:shd w:val="clear"/>
                <w:lang w:val="en-US" w:eastAsia="zh-CN" w:bidi="ar"/>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17.国内AI算力需求持续增长，请问公司当前下游各行业的需求呈现怎样的整体特征？明年公司判断下游市场需求的核心增长点将集中在哪些领域，是否会出现新的结构性变化？</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随着近几年人工智能技术的爆发式突破，人工智能产业链与商业化应用进入了高速发展阶段，各大厂商纷纷下场布局，引发AI浪潮，对加速卡等硬件的需求也在与日俱增。据IDC预测，2025年中国加速服务器出货量将同比增长56.3%，到2029年中国加速服务器市场规模将超过千亿美元，市场需求旺盛。目前海光 DCU 已进入行业、互联网等重要应用领域，2026 年的份额将有实现一定提升，成为 AI 算力竞赛中的核心供应商，同时海光已与国内主流大模型全面适配，支持了AI场景的多元化落地。</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18.贵司是否有市值管理相关措施？如何回馈股东？有无回购计划？</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公司于2025年12月10日在上海证券交易所网站披露《海光信息技术股份有限公司关于2025年中期现金分红方案的公告》（公告编号：2025-054），本次中期分红方案的制定与实施，旨在切实回馈广大投资者长期以来的信任与支持。此举既是公司积极履行股东回报承诺、践行高质量发展理念的重要体现，也显示了公司管理层对公司未来盈利能力与可持续发展前景的信心。公司后续也会积极做好经营管理工作，持续回报广大股东对公司的支持与关心。</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19.请问公司当前的市场定位与客户结构，与摩尔线程、沐曦相比有哪些显著区别？针对两家企业的市场布局差异，公司后续在细分市场拓展上有哪些重点规划？</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答:尊敬的投资者，您好！公司的显著特点是技术壁垒构筑了核心竞争力，双产品矩阵覆盖全场景需求。公司CPU生态优势不可替代，通用处理器兼容主流 x86 操作系统、云计算平台及数据库。海光 DCU 对标国际主流GPGPU，算子覆盖度超 99%，兼容 CUDA，可满足从十亿级模型推理到千亿级模型训练的全场景需求。海光双产品协同优势明显。公司同时掌握高端 CPU 与 DCU 研发能力，“CPU+DCU”组合可提供一体化算力解决方案，在 AI大模型训练、算力中心建设场景中，系统适配效率较“第三方 CPU + 国产 GPU”方案大幅提升。在生态层面，海光依托光合组织已聚合 6000 余家合作伙伴，完成 15000 余项软硬件测试，覆盖芯片设计、整机制造、软件适配全链条，在政务、金融、能源等领域的联合解决方案超 15000 个，形成 “芯片 - 整机 - 应用” 的闭环生态。</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20.公司8月12日解禁了所持海光信息的首发限售股，且曾承诺合并完成前不减持该部分股份 。此次合并终止后，此前的解禁股份是否仍受原承诺约束？8月的股份解禁，当初在推进合并过程中是否带来过股权协调等阻碍，对本次合并终止有无间接影响？</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答:本次吸收合并预案披露阶段作出的股份限售相关承诺是按照并购重组相关规则做出的承诺。本次合并重组主要受市场因素影响，与相关承诺没有关联性。感谢您的关注！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21.原合并方案中中科曙光换股价格79.26元/股，换股比例1:0.5525，有观点认为该比例下中科曙光股东每股收益会缩水，其持有的海光股权等资产也未被充分纳入估值体系 。此次合并终止，是否因中科曙光在换股环节存在估值被低估的争议，且相关争议未能与海光信息达成一致解决方案？</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尊敬的投资者，您好！本次交易自启动以来，交易双方的二级市场股价相比预案时发生了较大变化。自6月10日预案披露至8月中旬，吸并双方的股价走势基本平稳，表明重组方案本身并未对双方股价产生重大影响。自8月中旬以来，受国内国际环境变化、A股市场整体走势、AI产业热度变化及市场预期等复杂因素的影响，吸并双方股价开始了整体上涨并呈现较大波动的态势。两家公司股价的走势并非单独个体现象，而是与同期A股芯片、人工智能、算力等行业概念股票的走势呈现较大的相关性。因本次实施重大资产重组的条件尚不成熟，为切实维护上市公司和广大投资者长期利益，经公司与交易各相关方友好协商、认真研究和充分论证，基于审慎性考虑，决定终止本次交易事项。两家公司具有独立的市场化运作与专业化发展路径，分别聚焦算力基础设施集成和高端芯片设计的核心赛道，仍能够从产业协同合作角度实现从芯片设计到算力服务的全链条协同发展。海光信息将继续作为独立芯片供应商，为整个国产服务器行业提供核心算力芯片，推动国产算力产业链的多元协作与良性竞争。</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22.2025年12月17~19号的'HAIC光合组织”会议是否由海光组织？光合会议的内容能否大概提前预告下？</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光合组织首届人工智能创新大会将于2025年12月17日至19日在昆山国际会展中心盛大举办。本次大会有多项重磅亮点，大会将首次大规模公开展示AI创新技术与生态成果，全栈呈现国产AI加速计算技术栈，发布AI计算开放架构联合实验室行动计划，分享前沿AI4S部署实践案例等。届时，参展企业将展示基于“开放”理念的创新成果，覆盖从芯片、服务器、存储、超节点、AIPC到大模型与智能体、行业应用的全栈解决方案矩阵，加速国产AI计算生态实现从技术到产品的闭环。感谢您对公司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23.去年和前年公司分红都是1块7和1块1，今年为啥在大幅盈利且业绩大幅增长的情况下分红金额还减少了？是因为回购股份的原因吗？明年是否还有继续回购股份的计划？</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答:公司于2025年12月10日在上海证券交易所网站披露《海光信息技术股份有限公司关于2025年中期现金分红方案的公告》（公告编号：2025-054），需要特别说明的是，本次实施的分红为中期分红，而非年度分红。中期分红以2025年前三季度财务数据为核算依据，是公司在年度分红之外，为及时回馈股东、共享阶段性经营成果推出的利润分配方案；年度分红则以全年经营业绩为基础，其方案需结合年度审计结果及公司长期发展规划另行履行审议程序。</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 xml:space="preserve"> 24.您好，请问深算4号，目前进展</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答:深算三号已经投入市场，受到客户认可。新一代产品深算四号研发进展顺利。感谢您的关注！</w:t>
            </w:r>
            <w:r>
              <w:rPr>
                <w:rFonts w:hint="default" w:ascii="宋体" w:hAnsi="宋体" w:cs="宋体"/>
                <w:b w:val="0"/>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eastAsia" w:ascii="宋体" w:hAnsi="宋体" w:cs="宋体"/>
                <w:b/>
                <w:bCs/>
                <w:i w:val="0"/>
                <w:iCs w:val="0"/>
                <w:caps w:val="0"/>
                <w:spacing w:val="0"/>
                <w:kern w:val="0"/>
                <w:sz w:val="24"/>
                <w:szCs w:val="24"/>
                <w:shd w:val="clear"/>
                <w:lang w:val="en-US" w:eastAsia="zh-CN" w:bidi="ar-SA"/>
              </w:rPr>
              <w:t>25.公司深算三号进展如何，市场占有率和商用价值体现出来了吗</w:t>
            </w:r>
            <w:r>
              <w:rPr>
                <w:rFonts w:hint="eastAsia" w:ascii="宋体" w:hAnsi="宋体" w:cs="宋体"/>
                <w:b/>
                <w:bCs/>
                <w:i w:val="0"/>
                <w:iCs w:val="0"/>
                <w:caps w:val="0"/>
                <w:spacing w:val="0"/>
                <w:kern w:val="0"/>
                <w:sz w:val="24"/>
                <w:szCs w:val="24"/>
                <w:shd w:val="clear"/>
                <w:lang w:val="en-US" w:eastAsia="zh-CN" w:bidi="ar-SA"/>
              </w:rPr>
              <w:br w:type="textWrapping"/>
            </w:r>
            <w:r>
              <w:rPr>
                <w:rFonts w:hint="eastAsia" w:cs="Times New Roman"/>
                <w:b/>
                <w:i w:val="0"/>
                <w:iCs/>
                <w:caps w:val="0"/>
                <w:color w:val="000000"/>
                <w:spacing w:val="0"/>
                <w:sz w:val="24"/>
                <w:szCs w:val="24"/>
                <w:shd w:val="clear"/>
                <w:lang w:val="en-US" w:eastAsia="zh-CN" w:bidi="ar"/>
              </w:rPr>
              <w:t xml:space="preserve">   </w:t>
            </w:r>
            <w:r>
              <w:rPr>
                <w:rFonts w:hint="default" w:ascii="宋体" w:hAnsi="宋体" w:cs="宋体"/>
                <w:b w:val="0"/>
                <w:bCs/>
                <w:i w:val="0"/>
                <w:iCs w:val="0"/>
                <w:caps w:val="0"/>
                <w:spacing w:val="0"/>
                <w:kern w:val="0"/>
                <w:sz w:val="24"/>
                <w:szCs w:val="24"/>
                <w:shd w:val="clear"/>
                <w:lang w:val="en-US" w:eastAsia="zh-CN" w:bidi="ar-SA"/>
              </w:rPr>
              <w:t xml:space="preserve"> 答:深算三号已经投入市场，受到行业客户的广泛认可。</w:t>
            </w: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17CCAE91">
            <w:pPr>
              <w:spacing w:line="480" w:lineRule="atLeast"/>
              <w:rPr>
                <w:rFonts w:ascii="宋体" w:hAnsi="宋体" w:cs="宋体"/>
                <w:bCs/>
                <w:iCs/>
                <w:color w:val="000000"/>
                <w:sz w:val="24"/>
              </w:rPr>
            </w:pPr>
            <w:bookmarkStart w:id="8" w:name="Test10"/>
            <w:bookmarkEnd w:id="8"/>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spacing w:line="480" w:lineRule="atLeast"/>
              <w:rPr>
                <w:rFonts w:hint="default" w:eastAsia="宋体"/>
                <w:bCs/>
                <w:iCs/>
                <w:color w:val="000000"/>
                <w:sz w:val="24"/>
                <w:lang w:val="en-US" w:eastAsia="zh-CN"/>
              </w:rPr>
            </w:pPr>
            <w:bookmarkStart w:id="9" w:name="Test11"/>
            <w:bookmarkEnd w:id="9"/>
            <w:r>
              <w:rPr>
                <w:rFonts w:hint="eastAsia"/>
                <w:bCs/>
                <w:iCs/>
                <w:color w:val="000000"/>
                <w:sz w:val="24"/>
                <w:lang w:val="en-US" w:eastAsia="zh-CN"/>
              </w:rPr>
              <w:t>12月10日</w:t>
            </w:r>
          </w:p>
        </w:tc>
      </w:tr>
    </w:tbl>
    <w:p w14:paraId="6798C00C">
      <w:pPr>
        <w:ind w:firstLine="0" w:firstLineChars="0"/>
        <w:rPr>
          <w:rFonts w:hint="default"/>
          <w:b/>
          <w:bCs/>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677DED"/>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2F4B"/>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206884"/>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01F69"/>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5F021B"/>
    <w:rsid w:val="13742EFB"/>
    <w:rsid w:val="138950F3"/>
    <w:rsid w:val="139502B9"/>
    <w:rsid w:val="139E4DF2"/>
    <w:rsid w:val="139F6064"/>
    <w:rsid w:val="13A36720"/>
    <w:rsid w:val="13B770A5"/>
    <w:rsid w:val="13B81E24"/>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CE002B"/>
    <w:rsid w:val="1ED52DBC"/>
    <w:rsid w:val="1EE03AB4"/>
    <w:rsid w:val="1EE57543"/>
    <w:rsid w:val="1EE6686C"/>
    <w:rsid w:val="1EE8435C"/>
    <w:rsid w:val="1EEF5555"/>
    <w:rsid w:val="1EFA1FBC"/>
    <w:rsid w:val="1EFA4AC9"/>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9E0EF3"/>
    <w:rsid w:val="21A0409F"/>
    <w:rsid w:val="21B56D9D"/>
    <w:rsid w:val="21C13404"/>
    <w:rsid w:val="220721B3"/>
    <w:rsid w:val="22195B77"/>
    <w:rsid w:val="22250334"/>
    <w:rsid w:val="22352BBE"/>
    <w:rsid w:val="223D5D31"/>
    <w:rsid w:val="224578C1"/>
    <w:rsid w:val="22480531"/>
    <w:rsid w:val="22676E77"/>
    <w:rsid w:val="2268174F"/>
    <w:rsid w:val="2273543C"/>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46A1D"/>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7E750A"/>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23916"/>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9612E7"/>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769B2"/>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2D3E41"/>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4387E"/>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706E90"/>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61701A"/>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0A541F"/>
    <w:rsid w:val="3F1C400F"/>
    <w:rsid w:val="3F1D6116"/>
    <w:rsid w:val="3F22456E"/>
    <w:rsid w:val="3F3903E3"/>
    <w:rsid w:val="3F461B20"/>
    <w:rsid w:val="3F5B16D2"/>
    <w:rsid w:val="3F5D42AE"/>
    <w:rsid w:val="3F5F4283"/>
    <w:rsid w:val="3F7A30AF"/>
    <w:rsid w:val="3F7E2F60"/>
    <w:rsid w:val="3F9B22EA"/>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E6485E"/>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E0712"/>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33262"/>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D028FF"/>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346A12"/>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BA722E"/>
    <w:rsid w:val="56D37283"/>
    <w:rsid w:val="56F80A99"/>
    <w:rsid w:val="56FB31DE"/>
    <w:rsid w:val="57011FC1"/>
    <w:rsid w:val="570227F7"/>
    <w:rsid w:val="571E70EE"/>
    <w:rsid w:val="57275FE7"/>
    <w:rsid w:val="57376BC4"/>
    <w:rsid w:val="5748405B"/>
    <w:rsid w:val="575459E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B48D1"/>
    <w:rsid w:val="581C599D"/>
    <w:rsid w:val="582D75B7"/>
    <w:rsid w:val="58420BBB"/>
    <w:rsid w:val="58467240"/>
    <w:rsid w:val="58472064"/>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4B0611"/>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21615"/>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66DC4"/>
    <w:rsid w:val="5F2B0048"/>
    <w:rsid w:val="5F3A6979"/>
    <w:rsid w:val="5F452C56"/>
    <w:rsid w:val="5F687E9A"/>
    <w:rsid w:val="5F6F4F9F"/>
    <w:rsid w:val="5F840B24"/>
    <w:rsid w:val="5F994B39"/>
    <w:rsid w:val="5F9A43AA"/>
    <w:rsid w:val="5FA013CF"/>
    <w:rsid w:val="5FAD17DF"/>
    <w:rsid w:val="5FB061D5"/>
    <w:rsid w:val="5FBE3F60"/>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8F4503"/>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4FD3107"/>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95B8F"/>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BE6523"/>
    <w:rsid w:val="67E94DD5"/>
    <w:rsid w:val="67FC7E0E"/>
    <w:rsid w:val="680553A0"/>
    <w:rsid w:val="68056BEE"/>
    <w:rsid w:val="680F3D5A"/>
    <w:rsid w:val="683E56BB"/>
    <w:rsid w:val="68466660"/>
    <w:rsid w:val="684A1496"/>
    <w:rsid w:val="684D27DF"/>
    <w:rsid w:val="684F11F8"/>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2A0087"/>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A3AE6"/>
    <w:rsid w:val="6EDD1FD3"/>
    <w:rsid w:val="6F0755A7"/>
    <w:rsid w:val="6F186CD2"/>
    <w:rsid w:val="6F195AFE"/>
    <w:rsid w:val="6F252D7F"/>
    <w:rsid w:val="6F25340C"/>
    <w:rsid w:val="6F2619ED"/>
    <w:rsid w:val="6F3D238D"/>
    <w:rsid w:val="6F4F538E"/>
    <w:rsid w:val="6F5839F0"/>
    <w:rsid w:val="6F5A6BE9"/>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422BFC"/>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06988"/>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C81E55"/>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DFA4230"/>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8">
    <w:name w:val="Strong"/>
    <w:basedOn w:val="7"/>
    <w:qFormat/>
    <w:uiPriority w:val="0"/>
    <w:rPr>
      <w:b/>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character" w:customStyle="1" w:styleId="11">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11</Pages>
  <Words>1880</Words>
  <Characters>1958</Characters>
  <Lines>14</Lines>
  <Paragraphs>4</Paragraphs>
  <TotalTime>3</TotalTime>
  <ScaleCrop>false</ScaleCrop>
  <LinksUpToDate>false</LinksUpToDate>
  <CharactersWithSpaces>2050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zhaoyang chen</cp:lastModifiedBy>
  <dcterms:modified xsi:type="dcterms:W3CDTF">2025-12-10T10:23:31Z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5040A14AB0FF483AAF11F676623D301E_13</vt:lpwstr>
  </property>
  <property fmtid="{D5CDD505-2E9C-101B-9397-08002B2CF9AE}" pid="4" name="KSOTemplateDocerSaveRecord">
    <vt:lpwstr>eyJoZGlkIjoiYjExZTc2ZmZiMzc2OGQ0NWZhOGNhMWZmZTYxZDkwNTkiLCJ1c2VySWQiOiIyMjg3MDYyMjAifQ==</vt:lpwstr>
  </property>
</Properties>
</file>