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bookmarkStart w:id="1" w:name="_GoBack"/>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eastAsia="仿宋_GB2312" w:cs="Times New Roman"/>
          <w:color w:val="000000"/>
          <w:spacing w:val="12"/>
          <w:sz w:val="28"/>
          <w:szCs w:val="20"/>
          <w:lang w:val="en-US"/>
        </w:rPr>
        <w:t>146</w:t>
      </w:r>
      <w:r>
        <w:rPr>
          <w:rFonts w:hint="eastAsia" w:ascii="仿宋_GB2312" w:hAnsi="Times New Roman" w:eastAsia="仿宋_GB2312" w:cs="Times New Roman"/>
          <w:color w:val="000000"/>
          <w:spacing w:val="12"/>
          <w:sz w:val="28"/>
          <w:szCs w:val="20"/>
        </w:rPr>
        <w:t>号</w:t>
      </w:r>
    </w:p>
    <w:bookmarkEnd w:id="1"/>
    <w:p>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Pjv5j/QEAAPUDAAAO&#10;AAAAZHJzL2Uyb0RvYy54bWytU02O0zAU3iNxB8t7mjSowyhqOospZYOgEnAA13YSS/6Tn9u0l+AC&#10;SOxgxZI9t2HmGDw7oQzDpguycJ79Pn9+3+fn5c3RaHKQAZSzDZ3PSkqk5U4o2zX0w/vNs2tKIDIr&#10;mHZWNvQkgd6snj5ZDr6WleudFjIQJLFQD76hfYy+LgrgvTQMZs5Li8nWBcMiTkNXiMAGZDe6qMry&#10;qhhcED44LgFwdT0m6cQYLiF0bau4XDu+N9LGkTVIzSJKgl55oKtcbdtKHt+2LchIdENRacwjHoLx&#10;Lo3FasnqLjDfKz6VwC4p4ZEmw5TFQ89UaxYZ2Qf1D5VRPDhwbZxxZ4pRSHYEVczLR96865mXWQta&#10;Df5sOvw/Wv7msA1EiYZWlFhm8MLvPn3/+fHL/Y/PON59+0qqZNLgoUbsrd2GaQZ+G5LiYxtM+qMW&#10;cszGns7GymMkHBcXi8X8ulxQwjF39XyRGIs/W32A+Eo6Q1LQUK1sUs1qdngNcYT+hqRlbcmAnVu9&#10;KPEWOcMebPHuMTQedYDt8mZwWomN0jptgdDtbnUgB4Z9sNmU+E01/AVLp6wZ9CMupxKM1b1k4qUV&#10;JJ48OmTxYdBUg5GCEi3xHaUoIyNT+hIkytc2UcvcpZPQZPNobIp2TpzwdvY+qK5HY+a55pTBbsgO&#10;Tp2b2u3hHOOHr3X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MwvtZLWAAAA&#10;CAEAAA8AAAAAAAAAAQAgAAAAOAAAAGRycy9kb3ducmV2LnhtbFBLAQIUABQAAAAIAIdO4kAPjv5j&#10;/QEAAPUDAAAOAAAAAAAAAAEAIAAAADsBAABkcnMvZTJvRG9jLnhtbFBLAQIUAAoAAAAAAIdO4kAA&#10;AAAAAAAAAAAAAAAEAAAAAAAAAAAAEAAAABYAAABkcnMvUEsBAhQACgAAAAAAh07iQAAAAAAAAAAA&#10;AAAAAAYAAAAAAAAAAAAQAAAAZAMAAF9yZWxzL1BLBQYAAAAABgAGAFkBAACqBQAAAAA=&#10;">
                <v:fill on="f" focussize="0,0"/>
                <v:stroke weight="1pt" color="#FF0000" joinstyle="round"/>
                <v:imagedata o:title=""/>
                <o:lock v:ext="edit" aspectratio="f"/>
              </v:line>
            </w:pict>
          </mc:Fallback>
        </mc:AlternateContent>
      </w:r>
    </w:p>
    <w:p>
      <w:pPr>
        <w:jc w:val="center"/>
        <w:rPr>
          <w:rFonts w:hint="eastAsia"/>
          <w:sz w:val="28"/>
          <w:szCs w:val="28"/>
        </w:rPr>
      </w:pPr>
    </w:p>
    <w:p>
      <w:pPr>
        <w:widowControl/>
        <w:adjustRightInd w:val="0"/>
        <w:snapToGrid w:val="0"/>
        <w:spacing w:beforeLines="0" w:afterLines="0" w:line="240" w:lineRule="auto"/>
        <w:jc w:val="center"/>
        <w:outlineLvl w:val="0"/>
        <w:rPr>
          <w:rFonts w:hint="eastAsia" w:ascii="方正小标宋简体" w:hAnsi="方正小标宋简体" w:eastAsia="方正小标宋简体" w:cs="方正小标宋简体"/>
          <w:spacing w:val="-6"/>
          <w:kern w:val="0"/>
          <w:sz w:val="44"/>
          <w:szCs w:val="44"/>
          <w:highlight w:val="none"/>
          <w:lang w:eastAsia="zh-CN"/>
        </w:rPr>
      </w:pPr>
      <w:bookmarkStart w:id="0" w:name="quanwen"/>
      <w:r>
        <w:rPr>
          <w:rFonts w:hint="eastAsia" w:ascii="方正小标宋简体" w:hAnsi="方正小标宋简体" w:eastAsia="方正小标宋简体" w:cs="方正小标宋简体"/>
          <w:spacing w:val="-6"/>
          <w:kern w:val="0"/>
          <w:sz w:val="44"/>
          <w:szCs w:val="44"/>
        </w:rPr>
        <w:t>关于</w:t>
      </w:r>
      <w:r>
        <w:rPr>
          <w:rFonts w:hint="eastAsia" w:ascii="方正小标宋简体" w:hAnsi="方正小标宋简体" w:eastAsia="方正小标宋简体" w:cs="方正小标宋简体"/>
          <w:spacing w:val="-6"/>
          <w:kern w:val="0"/>
          <w:sz w:val="44"/>
          <w:szCs w:val="44"/>
          <w:highlight w:val="none"/>
        </w:rPr>
        <w:t>对</w:t>
      </w:r>
      <w:r>
        <w:rPr>
          <w:rFonts w:hint="eastAsia" w:ascii="方正小标宋简体" w:hAnsi="方正小标宋简体" w:eastAsia="方正小标宋简体" w:cs="方正小标宋简体"/>
          <w:spacing w:val="-6"/>
          <w:kern w:val="0"/>
          <w:sz w:val="44"/>
          <w:szCs w:val="44"/>
          <w:highlight w:val="none"/>
          <w:lang w:eastAsia="zh-CN"/>
        </w:rPr>
        <w:t>广州思林杰科技股份有限公司采取</w:t>
      </w:r>
    </w:p>
    <w:p>
      <w:pPr>
        <w:widowControl/>
        <w:adjustRightInd w:val="0"/>
        <w:snapToGrid w:val="0"/>
        <w:spacing w:beforeLines="0" w:afterLines="0" w:line="240" w:lineRule="auto"/>
        <w:jc w:val="center"/>
        <w:outlineLvl w:val="0"/>
        <w:rPr>
          <w:rFonts w:hint="eastAsia" w:ascii="方正小标宋简体" w:hAnsi="方正小标宋简体" w:eastAsia="方正小标宋简体" w:cs="方正小标宋简体"/>
          <w:spacing w:val="-6"/>
          <w:kern w:val="0"/>
          <w:sz w:val="44"/>
          <w:szCs w:val="44"/>
          <w:highlight w:val="none"/>
          <w:lang w:eastAsia="zh-CN"/>
        </w:rPr>
      </w:pPr>
      <w:r>
        <w:rPr>
          <w:rFonts w:hint="eastAsia" w:ascii="方正小标宋简体" w:hAnsi="方正小标宋简体" w:eastAsia="方正小标宋简体" w:cs="方正小标宋简体"/>
          <w:spacing w:val="-6"/>
          <w:kern w:val="0"/>
          <w:sz w:val="44"/>
          <w:szCs w:val="44"/>
          <w:highlight w:val="none"/>
          <w:lang w:eastAsia="zh-CN"/>
        </w:rPr>
        <w:t>责令改正措施并对周茂林、刘洋、劳仲秀、</w:t>
      </w:r>
    </w:p>
    <w:p>
      <w:pPr>
        <w:widowControl/>
        <w:adjustRightInd w:val="0"/>
        <w:snapToGrid w:val="0"/>
        <w:spacing w:beforeLines="0" w:afterLines="0" w:line="240" w:lineRule="auto"/>
        <w:jc w:val="center"/>
        <w:outlineLvl w:val="0"/>
        <w:rPr>
          <w:rFonts w:hint="eastAsia" w:ascii="方正小标宋简体" w:hAnsi="方正小标宋简体" w:eastAsia="方正小标宋简体" w:cs="方正小标宋简体"/>
          <w:spacing w:val="-6"/>
          <w:kern w:val="0"/>
          <w:sz w:val="44"/>
          <w:szCs w:val="44"/>
          <w:highlight w:val="none"/>
        </w:rPr>
      </w:pPr>
      <w:r>
        <w:rPr>
          <w:rFonts w:hint="eastAsia" w:ascii="方正小标宋简体" w:hAnsi="方正小标宋简体" w:eastAsia="方正小标宋简体" w:cs="方正小标宋简体"/>
          <w:spacing w:val="-6"/>
          <w:kern w:val="0"/>
          <w:sz w:val="44"/>
          <w:szCs w:val="44"/>
          <w:highlight w:val="none"/>
          <w:lang w:eastAsia="zh-CN"/>
        </w:rPr>
        <w:t>陈梦媛、高海林</w:t>
      </w:r>
      <w:r>
        <w:rPr>
          <w:rFonts w:hint="eastAsia" w:ascii="方正小标宋简体" w:hAnsi="方正小标宋简体" w:eastAsia="方正小标宋简体" w:cs="方正小标宋简体"/>
          <w:spacing w:val="-6"/>
          <w:kern w:val="0"/>
          <w:sz w:val="44"/>
          <w:szCs w:val="44"/>
          <w:highlight w:val="none"/>
        </w:rPr>
        <w:t>采取</w:t>
      </w:r>
      <w:r>
        <w:rPr>
          <w:rFonts w:hint="eastAsia" w:ascii="方正小标宋简体" w:hAnsi="方正小标宋简体" w:eastAsia="方正小标宋简体" w:cs="方正小标宋简体"/>
          <w:spacing w:val="-6"/>
          <w:kern w:val="0"/>
          <w:sz w:val="44"/>
          <w:szCs w:val="44"/>
          <w:highlight w:val="none"/>
          <w:lang w:eastAsia="zh-CN"/>
        </w:rPr>
        <w:t>出具警示函</w:t>
      </w:r>
      <w:r>
        <w:rPr>
          <w:rFonts w:hint="eastAsia" w:ascii="方正小标宋简体" w:hAnsi="方正小标宋简体" w:eastAsia="方正小标宋简体" w:cs="方正小标宋简体"/>
          <w:spacing w:val="-6"/>
          <w:kern w:val="0"/>
          <w:sz w:val="44"/>
          <w:szCs w:val="44"/>
          <w:highlight w:val="none"/>
        </w:rPr>
        <w:t>措施的决定</w:t>
      </w:r>
    </w:p>
    <w:p>
      <w:pPr>
        <w:widowControl w:val="0"/>
        <w:adjustRightInd w:val="0"/>
        <w:snapToGrid w:val="0"/>
        <w:spacing w:beforeLines="0" w:afterLines="0" w:line="240" w:lineRule="auto"/>
        <w:jc w:val="both"/>
        <w:rPr>
          <w:rFonts w:hint="eastAsia" w:ascii="方正小标宋简体" w:hAnsi="方正小标宋简体" w:eastAsia="方正小标宋简体" w:cs="方正小标宋简体"/>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lang w:eastAsia="zh-CN"/>
        </w:rPr>
        <w:t>广州</w:t>
      </w:r>
      <w:r>
        <w:rPr>
          <w:rFonts w:hint="eastAsia" w:ascii="仿宋_GB2312" w:hAnsi="仿宋_GB2312" w:eastAsia="仿宋_GB2312" w:cs="仿宋_GB2312"/>
          <w:spacing w:val="-6"/>
          <w:kern w:val="0"/>
          <w:sz w:val="32"/>
          <w:szCs w:val="32"/>
          <w:highlight w:val="none"/>
        </w:rPr>
        <w:t>思林杰科技股份有限公司</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rPr>
        <w:t>周茂林、刘洋、劳仲秀、陈梦媛、高海林：</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rPr>
          <w:rFonts w:hint="eastAsia" w:ascii="仿宋_GB2312" w:hAnsi="仿宋_GB2312" w:eastAsia="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根据《</w:t>
      </w:r>
      <w:r>
        <w:rPr>
          <w:rFonts w:hint="eastAsia" w:ascii="仿宋_GB2312" w:hAnsi="仿宋_GB2312" w:eastAsia="仿宋_GB2312" w:cs="仿宋_GB2312"/>
          <w:b w:val="0"/>
          <w:bCs w:val="0"/>
          <w:sz w:val="32"/>
          <w:szCs w:val="32"/>
          <w:highlight w:val="none"/>
          <w:lang w:val="en-US" w:eastAsia="zh-CN"/>
        </w:rPr>
        <w:t>上市公司现场检查规则》（证监会公告〔2025〕5号）</w:t>
      </w:r>
      <w:r>
        <w:rPr>
          <w:rFonts w:hint="eastAsia" w:ascii="仿宋_GB2312" w:hAnsi="仿宋_GB2312" w:eastAsia="仿宋_GB2312" w:cs="仿宋_GB2312"/>
          <w:spacing w:val="0"/>
          <w:kern w:val="0"/>
          <w:sz w:val="32"/>
          <w:szCs w:val="32"/>
          <w:lang w:val="en-US" w:eastAsia="zh-CN"/>
        </w:rPr>
        <w:t>等规定，我局</w:t>
      </w:r>
      <w:r>
        <w:rPr>
          <w:rFonts w:hint="eastAsia" w:ascii="仿宋_GB2312" w:eastAsia="仿宋_GB2312"/>
          <w:kern w:val="0"/>
          <w:sz w:val="32"/>
          <w:szCs w:val="32"/>
          <w:lang w:eastAsia="zh-CN"/>
        </w:rPr>
        <w:t>近期</w:t>
      </w:r>
      <w:r>
        <w:rPr>
          <w:rFonts w:hint="eastAsia" w:ascii="仿宋_GB2312" w:eastAsia="仿宋_GB2312"/>
          <w:kern w:val="0"/>
          <w:sz w:val="32"/>
          <w:szCs w:val="32"/>
        </w:rPr>
        <w:t>对</w:t>
      </w:r>
      <w:r>
        <w:rPr>
          <w:rFonts w:hint="eastAsia" w:ascii="仿宋_GB2312" w:eastAsia="仿宋_GB2312"/>
          <w:kern w:val="0"/>
          <w:sz w:val="32"/>
          <w:szCs w:val="32"/>
          <w:lang w:eastAsia="zh-CN"/>
        </w:rPr>
        <w:t>广州</w:t>
      </w:r>
      <w:r>
        <w:rPr>
          <w:rFonts w:hint="eastAsia" w:ascii="仿宋_GB2312" w:hAnsi="仿宋_GB2312" w:eastAsia="仿宋_GB2312" w:cs="Times New Roman"/>
          <w:spacing w:val="-6"/>
          <w:kern w:val="0"/>
          <w:sz w:val="32"/>
          <w:szCs w:val="32"/>
          <w:lang w:val="en-US" w:eastAsia="zh-CN" w:bidi="ar-SA"/>
        </w:rPr>
        <w:t>思林杰科技股份有限公司（以下简称思林杰或公司）</w:t>
      </w:r>
      <w:r>
        <w:rPr>
          <w:rFonts w:hint="eastAsia" w:ascii="仿宋_GB2312" w:hAnsi="仿宋_GB2312" w:eastAsia="仿宋_GB2312" w:cs="仿宋_GB2312"/>
          <w:spacing w:val="0"/>
          <w:kern w:val="0"/>
          <w:sz w:val="32"/>
          <w:szCs w:val="32"/>
          <w:lang w:val="en-US" w:eastAsia="zh-CN"/>
        </w:rPr>
        <w:t>进行了现场检查，发现公司</w:t>
      </w:r>
      <w:r>
        <w:rPr>
          <w:rFonts w:hint="eastAsia" w:ascii="仿宋_GB2312" w:hAnsi="仿宋_GB2312" w:eastAsia="仿宋_GB2312"/>
          <w:spacing w:val="0"/>
          <w:kern w:val="0"/>
          <w:sz w:val="32"/>
          <w:szCs w:val="32"/>
          <w:lang w:val="en-US" w:eastAsia="zh-CN"/>
        </w:rPr>
        <w:t>存在以下问题：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firstLine="640" w:firstLineChars="200"/>
        <w:outlineLvl w:val="9"/>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sz w:val="32"/>
          <w:szCs w:val="32"/>
          <w:lang w:val="en-US" w:eastAsia="zh-CN"/>
        </w:rPr>
        <w:t>一、信息披露不准确。</w:t>
      </w:r>
      <w:r>
        <w:rPr>
          <w:rFonts w:hint="eastAsia" w:ascii="仿宋_GB2312" w:eastAsia="仿宋_GB2312"/>
          <w:sz w:val="32"/>
          <w:szCs w:val="32"/>
          <w:lang w:val="en-US" w:eastAsia="zh-CN"/>
        </w:rPr>
        <w:t>思林杰实际控制人、董事长周茂林以及董事兼总经理刘洋存在为他人代持合计</w:t>
      </w:r>
      <w:r>
        <w:rPr>
          <w:rFonts w:hint="eastAsia" w:ascii="仿宋_GB2312" w:hAnsi="仿宋_GB2312" w:eastAsia="仿宋_GB2312" w:cs="仿宋_GB2312"/>
          <w:sz w:val="32"/>
          <w:szCs w:val="32"/>
          <w:highlight w:val="none"/>
          <w:lang w:val="en-US" w:eastAsia="zh-CN"/>
        </w:rPr>
        <w:t>1.32%公司股份的情况，</w:t>
      </w:r>
      <w:r>
        <w:rPr>
          <w:rFonts w:hint="eastAsia" w:ascii="仿宋_GB2312" w:eastAsia="仿宋_GB2312"/>
          <w:sz w:val="32"/>
          <w:szCs w:val="32"/>
          <w:lang w:val="en-US" w:eastAsia="zh-CN"/>
        </w:rPr>
        <w:t>周茂林、刘洋未及时告知公司为他人代持股份事项，导致公司相关年度定期报告披露的信息不准确。</w:t>
      </w:r>
      <w:r>
        <w:rPr>
          <w:rFonts w:hint="eastAsia" w:ascii="仿宋_GB2312" w:hAnsi="Times New Roman" w:eastAsia="仿宋_GB2312" w:cs="Times New Roman"/>
          <w:kern w:val="2"/>
          <w:sz w:val="32"/>
          <w:szCs w:val="32"/>
          <w:lang w:val="en-US" w:eastAsia="zh-CN" w:bidi="ar-SA"/>
        </w:rPr>
        <w:t>上述行为</w:t>
      </w:r>
      <w:r>
        <w:rPr>
          <w:rFonts w:hint="eastAsia" w:ascii="仿宋_GB2312" w:eastAsia="仿宋_GB2312" w:cs="Times New Roman"/>
          <w:kern w:val="2"/>
          <w:sz w:val="32"/>
          <w:szCs w:val="32"/>
          <w:lang w:val="en-US" w:eastAsia="zh-CN" w:bidi="ar-SA"/>
        </w:rPr>
        <w:t>不符合</w:t>
      </w:r>
      <w:r>
        <w:rPr>
          <w:rFonts w:hint="eastAsia" w:ascii="仿宋_GB2312" w:hAnsi="Times New Roman" w:eastAsia="仿宋_GB2312" w:cs="Times New Roman"/>
          <w:kern w:val="2"/>
          <w:sz w:val="32"/>
          <w:szCs w:val="32"/>
          <w:lang w:val="en-US" w:eastAsia="zh-CN" w:bidi="ar-SA"/>
        </w:rPr>
        <w:t>《上市公司信息披露管理办法》（证监会令第182号</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第三条第一款的规定。</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周茂林、刘洋隐瞒为他人代持公司股份行为，违反了</w:t>
      </w:r>
      <w:r>
        <w:rPr>
          <w:rFonts w:hint="eastAsia" w:ascii="仿宋_GB2312" w:eastAsia="仿宋_GB2312"/>
          <w:sz w:val="32"/>
          <w:szCs w:val="32"/>
          <w:lang w:val="en-US" w:eastAsia="zh-CN"/>
        </w:rPr>
        <w:t>《</w:t>
      </w:r>
      <w:r>
        <w:rPr>
          <w:rFonts w:hint="eastAsia" w:ascii="仿宋_GB2312" w:hAnsi="Calibri" w:eastAsia="仿宋_GB2312" w:cs="Times New Roman"/>
          <w:kern w:val="2"/>
          <w:sz w:val="32"/>
          <w:szCs w:val="32"/>
          <w:lang w:val="en-US" w:eastAsia="zh-CN" w:bidi="ar-SA"/>
        </w:rPr>
        <w:t>上市公司</w:t>
      </w:r>
      <w:r>
        <w:rPr>
          <w:rFonts w:hint="eastAsia" w:ascii="仿宋_GB2312" w:eastAsia="仿宋_GB2312"/>
          <w:sz w:val="32"/>
          <w:szCs w:val="32"/>
          <w:lang w:val="en-US" w:eastAsia="zh-CN"/>
        </w:rPr>
        <w:t>信息披露管理办法》（证监会令第182号）第四条规定，对公司上述违规行为负有主要责任。</w:t>
      </w:r>
    </w:p>
    <w:p>
      <w:pPr>
        <w:numPr>
          <w:ilvl w:val="0"/>
          <w:numId w:val="0"/>
        </w:numPr>
        <w:overflowPunct w:val="0"/>
        <w:adjustRightInd w:val="0"/>
        <w:snapToGrid w:val="0"/>
        <w:spacing w:beforeLines="0" w:afterLines="0" w:line="336" w:lineRule="auto"/>
        <w:ind w:firstLine="640" w:firstLineChars="200"/>
        <w:rPr>
          <w:rFonts w:hint="eastAsia" w:ascii="仿宋_GB2312" w:hAnsi="仿宋_GB2312" w:eastAsia="仿宋_GB2312" w:cs="仿宋_GB2312"/>
          <w:b w:val="0"/>
          <w:bCs w:val="0"/>
          <w:spacing w:val="-6"/>
          <w:sz w:val="32"/>
          <w:szCs w:val="32"/>
          <w:highlight w:val="none"/>
          <w:lang w:val="en-US" w:eastAsia="zh-CN"/>
        </w:rPr>
      </w:pPr>
      <w:r>
        <w:rPr>
          <w:rFonts w:hint="eastAsia" w:ascii="黑体" w:hAnsi="黑体" w:eastAsia="黑体" w:cs="黑体"/>
          <w:sz w:val="32"/>
          <w:szCs w:val="32"/>
          <w:lang w:val="en-US" w:eastAsia="zh-CN"/>
        </w:rPr>
        <w:t>二、募集资金使用不规范。</w:t>
      </w:r>
      <w:r>
        <w:rPr>
          <w:rFonts w:hint="eastAsia" w:ascii="仿宋_GB2312" w:hAnsi="Times New Roman" w:eastAsia="仿宋_GB2312" w:cs="Times New Roman"/>
          <w:b/>
          <w:bCs/>
          <w:sz w:val="32"/>
          <w:szCs w:val="32"/>
          <w:lang w:val="en-US" w:eastAsia="zh-CN"/>
        </w:rPr>
        <w:t>一是</w:t>
      </w:r>
      <w:r>
        <w:rPr>
          <w:rFonts w:hint="eastAsia" w:ascii="仿宋_GB2312" w:hAnsi="Times New Roman" w:eastAsia="仿宋_GB2312" w:cs="Times New Roman"/>
          <w:b w:val="0"/>
          <w:bCs w:val="0"/>
          <w:sz w:val="32"/>
          <w:szCs w:val="32"/>
          <w:lang w:val="en-US" w:eastAsia="zh-CN"/>
        </w:rPr>
        <w:t>募集资金使用超出招股说明书所列用途。</w:t>
      </w:r>
      <w:r>
        <w:rPr>
          <w:rFonts w:hint="eastAsia" w:ascii="仿宋_GB2312" w:eastAsia="仿宋_GB2312"/>
          <w:sz w:val="32"/>
          <w:szCs w:val="32"/>
          <w:lang w:val="en-US" w:eastAsia="zh-CN"/>
        </w:rPr>
        <w:t>思林杰2022年使用募集资金置换相关募投项目先期投入时，置换内容包含非募投项目建设人员薪酬，超出招股说明书所列用途且未履行审议程序，</w:t>
      </w:r>
      <w:r>
        <w:rPr>
          <w:rFonts w:hint="eastAsia" w:ascii="仿宋_GB2312" w:hAnsi="仿宋_GB2312" w:eastAsia="仿宋_GB2312" w:cs="仿宋_GB2312"/>
          <w:sz w:val="32"/>
          <w:szCs w:val="32"/>
          <w:lang w:val="en-US" w:eastAsia="zh-CN"/>
        </w:rPr>
        <w:t>相关置换公告披露不准确</w:t>
      </w:r>
      <w:r>
        <w:rPr>
          <w:rFonts w:hint="eastAsia" w:ascii="仿宋_GB2312" w:eastAsia="仿宋_GB2312"/>
          <w:sz w:val="32"/>
          <w:szCs w:val="32"/>
          <w:lang w:val="en-US" w:eastAsia="zh-CN"/>
        </w:rPr>
        <w:t>。</w:t>
      </w:r>
      <w:r>
        <w:rPr>
          <w:rFonts w:hint="eastAsia" w:ascii="仿宋_GB2312" w:hAnsi="Times New Roman" w:eastAsia="仿宋_GB2312" w:cs="Times New Roman"/>
          <w:b/>
          <w:bCs/>
          <w:sz w:val="32"/>
          <w:szCs w:val="32"/>
          <w:lang w:val="en-US" w:eastAsia="zh-CN"/>
        </w:rPr>
        <w:t>二是</w:t>
      </w:r>
      <w:r>
        <w:rPr>
          <w:rFonts w:hint="eastAsia" w:ascii="仿宋_GB2312" w:hAnsi="Times New Roman" w:eastAsia="仿宋_GB2312" w:cs="Times New Roman"/>
          <w:b w:val="0"/>
          <w:bCs w:val="0"/>
          <w:sz w:val="32"/>
          <w:szCs w:val="32"/>
          <w:lang w:val="en-US" w:eastAsia="zh-CN"/>
        </w:rPr>
        <w:t>募集资金存放不规范。</w:t>
      </w:r>
      <w:r>
        <w:rPr>
          <w:rFonts w:hint="eastAsia" w:ascii="仿宋_GB2312" w:eastAsia="仿宋_GB2312"/>
          <w:sz w:val="32"/>
          <w:szCs w:val="32"/>
          <w:lang w:val="en-US" w:eastAsia="zh-CN"/>
        </w:rPr>
        <w:t>超募资金账户存放了公司部分补充运营资金，</w:t>
      </w:r>
      <w:r>
        <w:rPr>
          <w:rFonts w:hint="eastAsia" w:ascii="仿宋_GB2312" w:hAnsi="仿宋_GB2312" w:eastAsia="仿宋_GB2312" w:cs="仿宋_GB2312"/>
          <w:b w:val="0"/>
          <w:bCs w:val="0"/>
          <w:sz w:val="32"/>
          <w:szCs w:val="32"/>
          <w:lang w:val="en-US" w:eastAsia="zh-CN"/>
        </w:rPr>
        <w:t>超出第三方存管协议约定的资金用途，</w:t>
      </w:r>
      <w:r>
        <w:rPr>
          <w:rFonts w:hint="eastAsia" w:ascii="仿宋_GB2312" w:hAnsi="仿宋_GB2312" w:eastAsia="仿宋_GB2312" w:cs="仿宋_GB2312"/>
          <w:sz w:val="32"/>
          <w:szCs w:val="32"/>
          <w:lang w:val="en-US" w:eastAsia="zh-CN"/>
        </w:rPr>
        <w:t>相关存放与实际使用情况报告披露不准确</w:t>
      </w:r>
      <w:r>
        <w:rPr>
          <w:rFonts w:hint="eastAsia" w:ascii="仿宋_GB2312" w:eastAsia="仿宋_GB2312"/>
          <w:sz w:val="32"/>
          <w:szCs w:val="32"/>
          <w:lang w:val="en-US" w:eastAsia="zh-CN"/>
        </w:rPr>
        <w:t>。上述行为不符合《上市公司监管指引第2号——上市公司募集资金管理和使用的监管要求》（证监会公告〔2022〕15号）第五条、</w:t>
      </w:r>
      <w:r>
        <w:rPr>
          <w:rFonts w:hint="eastAsia" w:ascii="仿宋_GB2312" w:hAnsi="仿宋_GB2312" w:eastAsia="仿宋_GB2312" w:cs="仿宋_GB2312"/>
          <w:b w:val="0"/>
          <w:bCs w:val="0"/>
          <w:spacing w:val="-6"/>
          <w:sz w:val="32"/>
          <w:szCs w:val="32"/>
          <w:highlight w:val="none"/>
          <w:lang w:val="en-US" w:eastAsia="zh-CN"/>
        </w:rPr>
        <w:t>第六条、第十二条第一款的规定，违反了《上市公司信息披露管理办法》（证监会令第182号）第三条第一款的规定。</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公司相关人员未按《上市公司信息披露管理办法》</w:t>
      </w:r>
      <w:r>
        <w:rPr>
          <w:rFonts w:hint="eastAsia" w:ascii="仿宋_GB2312" w:hAnsi="仿宋_GB2312" w:eastAsia="仿宋_GB2312" w:cs="仿宋_GB2312"/>
          <w:b w:val="0"/>
          <w:bCs w:val="0"/>
          <w:spacing w:val="-6"/>
          <w:sz w:val="32"/>
          <w:szCs w:val="32"/>
          <w:highlight w:val="none"/>
          <w:lang w:val="en-US" w:eastAsia="zh-CN"/>
        </w:rPr>
        <w:t>（证监会令第182号）</w:t>
      </w:r>
      <w:r>
        <w:rPr>
          <w:rFonts w:hint="eastAsia" w:ascii="仿宋_GB2312" w:eastAsia="仿宋_GB2312"/>
          <w:sz w:val="32"/>
          <w:szCs w:val="32"/>
          <w:lang w:val="en-US" w:eastAsia="zh-CN"/>
        </w:rPr>
        <w:t>第四条的规定履行勤勉尽责义务，其中公司董事长周茂林、时任董事会秘书兼财务总监劳仲秀对公司募集资金使用不规范及存放不规范事项负有主要责任，现任董事会秘书陈梦媛、现任财务总监高海林对公司募集资金存放不规范事项负有主要责任。</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eastAsia="仿宋_GB2312"/>
          <w:sz w:val="32"/>
          <w:szCs w:val="32"/>
          <w:lang w:val="en-US" w:eastAsia="zh-CN"/>
        </w:rPr>
        <w:t>根据</w:t>
      </w:r>
      <w:r>
        <w:rPr>
          <w:rFonts w:hint="eastAsia" w:ascii="仿宋_GB2312" w:hAnsi="Times New Roman" w:eastAsia="仿宋_GB2312" w:cs="Times New Roman"/>
          <w:kern w:val="2"/>
          <w:sz w:val="32"/>
          <w:szCs w:val="32"/>
          <w:lang w:val="en-US" w:eastAsia="zh-CN" w:bidi="ar-SA"/>
        </w:rPr>
        <w:t>《上市公司信息披露管理办法》（证监会令第182号</w:t>
      </w:r>
      <w:r>
        <w:rPr>
          <w:rFonts w:hint="eastAsia" w:ascii="仿宋_GB2312" w:eastAsia="仿宋_GB2312" w:cs="Times New Roman"/>
          <w:kern w:val="2"/>
          <w:sz w:val="32"/>
          <w:szCs w:val="32"/>
          <w:lang w:val="en-US" w:eastAsia="zh-CN" w:bidi="ar-SA"/>
        </w:rPr>
        <w:t>）第五十二条的规定，我局决定对思林杰采取责令改正的行政监管措施，对周茂林、刘洋、劳仲秀、陈梦媛、高海林采取出具警示函的行政监管措施</w:t>
      </w:r>
      <w:r>
        <w:rPr>
          <w:rFonts w:hint="eastAsia" w:ascii="仿宋_GB2312" w:eastAsia="仿宋_GB2312" w:cs="Times New Roman"/>
          <w:kern w:val="2"/>
          <w:sz w:val="32"/>
          <w:szCs w:val="32"/>
          <w:highlight w:val="none"/>
          <w:lang w:val="en-US" w:eastAsia="zh-CN" w:bidi="ar-SA"/>
        </w:rPr>
        <w:t>，并记入证券期货市场诚信档案。</w:t>
      </w:r>
      <w:r>
        <w:rPr>
          <w:rFonts w:hint="eastAsia" w:ascii="仿宋_GB2312" w:eastAsia="仿宋_GB2312" w:cs="Times New Roman"/>
          <w:kern w:val="2"/>
          <w:sz w:val="32"/>
          <w:szCs w:val="32"/>
          <w:lang w:val="en-US" w:eastAsia="zh-CN" w:bidi="ar-SA"/>
        </w:rPr>
        <w:t>你们应认真吸取教训，采取有效措施切实整改，加强对证券法律法规的学习，提升依法合规履职意识，杜绝此类问题再次发生。同时公司应对相关责任人员进行内部问责，于收到本决定书30日内向我局报送公司整改报告、内部问责情况报告，并抄报上海证券交易所。</w:t>
      </w:r>
    </w:p>
    <w:p>
      <w:pPr>
        <w:keepNext w:val="0"/>
        <w:keepLines w:val="0"/>
        <w:pageBreakBefore w:val="0"/>
        <w:widowControl w:val="0"/>
        <w:suppressLineNumbers w:val="0"/>
        <w:kinsoku/>
        <w:wordWrap/>
        <w:overflowPunct w:val="0"/>
        <w:topLinePunct w:val="0"/>
        <w:autoSpaceDE/>
        <w:autoSpaceDN/>
        <w:bidi w:val="0"/>
        <w:adjustRightInd/>
        <w:snapToGrid w:val="0"/>
        <w:spacing w:beforeLines="0" w:afterLines="0" w:line="336"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果对本行政监管措施不服，可在收到本决定书之日起60日内向中国证券监督管理委员会提出行政复议申请；也可以在收到本决定书之日起6个月内向有管辖权的人民法院提起诉讼。复议与诉讼期间，上述行政监管措施不停止执行。</w:t>
      </w:r>
    </w:p>
    <w:p>
      <w:pPr>
        <w:pStyle w:val="8"/>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11</w:t>
      </w:r>
      <w:r>
        <w:rPr>
          <w:rFonts w:hint="eastAsia" w:ascii="仿宋_GB2312" w:hAnsi="Times New Roman" w:eastAsia="仿宋_GB2312" w:cs="Times New Roman"/>
          <w:color w:val="000000"/>
          <w:spacing w:val="10"/>
          <w:sz w:val="32"/>
          <w:szCs w:val="32"/>
        </w:rPr>
        <w:t>月</w:t>
      </w:r>
      <w:r>
        <w:rPr>
          <w:rFonts w:hint="default" w:ascii="仿宋_GB2312" w:cs="Times New Roman"/>
          <w:color w:val="000000"/>
          <w:spacing w:val="10"/>
          <w:sz w:val="32"/>
          <w:szCs w:val="32"/>
          <w:lang w:val="en-US" w:eastAsia="zh-CN"/>
        </w:rPr>
        <w:t>7</w:t>
      </w:r>
      <w:r>
        <w:rPr>
          <w:rFonts w:hint="eastAsia" w:ascii="仿宋_GB2312" w:hAnsi="Times New Roman" w:eastAsia="仿宋_GB2312" w:cs="Times New Roman"/>
          <w:color w:val="000000"/>
          <w:spacing w:val="10"/>
          <w:sz w:val="32"/>
          <w:szCs w:val="32"/>
        </w:rPr>
        <w:t>日</w:t>
      </w: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snapToGrid w:val="0"/>
        <w:spacing w:line="360" w:lineRule="auto"/>
        <w:ind w:right="28"/>
        <w:jc w:val="left"/>
        <w:rPr>
          <w:rFonts w:hint="eastAsia" w:ascii="黑体" w:hAnsi="Times New Roman" w:eastAsia="黑体" w:cs="Times New Roman"/>
          <w:b w:val="0"/>
          <w:bCs w:val="0"/>
          <w:spacing w:val="8"/>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20"/>
          <w:szCs w:val="11"/>
        </w:rPr>
      </w:pPr>
    </w:p>
    <w:p>
      <w:pPr>
        <w:snapToGrid w:val="0"/>
        <w:spacing w:line="300" w:lineRule="auto"/>
        <w:ind w:right="26"/>
        <w:jc w:val="left"/>
        <w:rPr>
          <w:rFonts w:hint="eastAsia" w:ascii="黑体" w:eastAsia="黑体"/>
          <w:spacing w:val="8"/>
          <w:sz w:val="20"/>
          <w:szCs w:val="11"/>
        </w:rPr>
      </w:pPr>
    </w:p>
    <w:p>
      <w:pPr>
        <w:pBdr>
          <w:top w:val="single" w:color="auto" w:sz="8" w:space="6"/>
        </w:pBdr>
        <w:adjustRightInd w:val="0"/>
        <w:snapToGrid w:val="0"/>
        <w:spacing w:after="109" w:afterLines="35"/>
        <w:ind w:firstLine="302" w:firstLineChars="100"/>
        <w:rPr>
          <w:rFonts w:hint="eastAsia" w:ascii="仿宋_GB2312" w:hAnsi="Times New Roman" w:eastAsia="仿宋_GB2312" w:cs="Times New Roman"/>
          <w:spacing w:val="11"/>
          <w:sz w:val="28"/>
          <w:szCs w:val="20"/>
          <w:lang w:eastAsia="zh-CN"/>
        </w:rPr>
      </w:pPr>
      <w:r>
        <w:rPr>
          <w:rFonts w:hint="eastAsia" w:ascii="仿宋_GB2312" w:hAnsi="Times New Roman" w:eastAsia="仿宋_GB2312" w:cs="Times New Roman"/>
          <w:spacing w:val="11"/>
          <w:sz w:val="28"/>
          <w:szCs w:val="20"/>
        </w:rPr>
        <w:t>抄送：</w:t>
      </w:r>
      <w:r>
        <w:rPr>
          <w:rFonts w:hint="eastAsia" w:ascii="仿宋_GB2312" w:hAnsi="Times New Roman" w:eastAsia="仿宋_GB2312" w:cs="Times New Roman"/>
          <w:spacing w:val="11"/>
          <w:sz w:val="28"/>
          <w:szCs w:val="20"/>
          <w:lang w:eastAsia="zh-CN"/>
        </w:rPr>
        <w:t>证监</w:t>
      </w:r>
      <w:r>
        <w:rPr>
          <w:rFonts w:hint="eastAsia" w:ascii="仿宋_GB2312" w:hAnsi="Times New Roman" w:eastAsia="仿宋_GB2312" w:cs="Times New Roman"/>
          <w:spacing w:val="11"/>
          <w:sz w:val="28"/>
          <w:szCs w:val="20"/>
        </w:rPr>
        <w:t>会上市</w:t>
      </w:r>
      <w:r>
        <w:rPr>
          <w:rFonts w:hint="eastAsia" w:ascii="仿宋_GB2312" w:hAnsi="Times New Roman" w:eastAsia="仿宋_GB2312" w:cs="Times New Roman"/>
          <w:spacing w:val="11"/>
          <w:sz w:val="28"/>
          <w:szCs w:val="20"/>
          <w:lang w:eastAsia="zh-CN"/>
        </w:rPr>
        <w:t>司</w:t>
      </w:r>
      <w:r>
        <w:rPr>
          <w:rFonts w:hint="eastAsia" w:ascii="仿宋_GB2312" w:hAnsi="Times New Roman" w:eastAsia="仿宋_GB2312" w:cs="Times New Roman"/>
          <w:spacing w:val="11"/>
          <w:sz w:val="28"/>
          <w:szCs w:val="20"/>
        </w:rPr>
        <w:t>、法治司；</w:t>
      </w:r>
      <w:r>
        <w:rPr>
          <w:rFonts w:hint="eastAsia" w:ascii="仿宋_GB2312" w:hAnsi="Times New Roman" w:eastAsia="仿宋_GB2312" w:cs="Times New Roman"/>
          <w:spacing w:val="11"/>
          <w:sz w:val="28"/>
          <w:szCs w:val="20"/>
          <w:lang w:eastAsia="zh-CN"/>
        </w:rPr>
        <w:t>上海</w:t>
      </w:r>
      <w:r>
        <w:rPr>
          <w:rFonts w:hint="eastAsia" w:ascii="仿宋_GB2312" w:hAnsi="Times New Roman" w:eastAsia="仿宋_GB2312" w:cs="Times New Roman"/>
          <w:spacing w:val="11"/>
          <w:sz w:val="28"/>
          <w:szCs w:val="20"/>
        </w:rPr>
        <w:t>证券交易所</w:t>
      </w:r>
      <w:r>
        <w:rPr>
          <w:rFonts w:hint="eastAsia" w:ascii="仿宋_GB2312" w:hAnsi="Times New Roman" w:eastAsia="仿宋_GB2312" w:cs="Times New Roman"/>
          <w:spacing w:val="11"/>
          <w:sz w:val="28"/>
          <w:szCs w:val="20"/>
          <w:lang w:eastAsia="zh-CN"/>
        </w:rPr>
        <w:t>；</w:t>
      </w:r>
    </w:p>
    <w:p>
      <w:pPr>
        <w:pBdr>
          <w:top w:val="single" w:color="auto" w:sz="8" w:space="6"/>
        </w:pBdr>
        <w:adjustRightInd w:val="0"/>
        <w:snapToGrid w:val="0"/>
        <w:spacing w:after="109" w:afterLines="35"/>
        <w:ind w:left="0" w:leftChars="0" w:firstLine="1259" w:firstLineChars="417"/>
        <w:rPr>
          <w:rFonts w:hint="eastAsia" w:ascii="仿宋_GB2312" w:hAnsi="Times New Roman" w:eastAsia="仿宋_GB2312" w:cs="Times New Roman"/>
          <w:spacing w:val="11"/>
          <w:sz w:val="28"/>
          <w:szCs w:val="20"/>
          <w:lang w:val="en-US" w:eastAsia="zh-CN"/>
        </w:rPr>
      </w:pPr>
      <w:r>
        <w:rPr>
          <w:rFonts w:hint="eastAsia" w:ascii="仿宋_GB2312" w:hAnsi="Times New Roman" w:eastAsia="仿宋_GB2312" w:cs="Times New Roman"/>
          <w:spacing w:val="11"/>
          <w:sz w:val="28"/>
          <w:szCs w:val="20"/>
          <w:lang w:val="en-US" w:eastAsia="zh-CN"/>
        </w:rPr>
        <w:t>广州思林杰科技股份有限公司审计委员会，</w:t>
      </w:r>
    </w:p>
    <w:p>
      <w:pPr>
        <w:pBdr>
          <w:top w:val="single" w:color="auto" w:sz="8" w:space="6"/>
        </w:pBdr>
        <w:adjustRightInd w:val="0"/>
        <w:snapToGrid w:val="0"/>
        <w:spacing w:after="109" w:afterLines="35"/>
        <w:ind w:left="0" w:leftChars="0" w:firstLine="1259" w:firstLineChars="417"/>
        <w:rPr>
          <w:rFonts w:hint="eastAsia" w:ascii="仿宋_GB2312" w:hAnsi="Times New Roman" w:eastAsia="仿宋_GB2312" w:cs="Times New Roman"/>
          <w:spacing w:val="11"/>
          <w:sz w:val="28"/>
          <w:szCs w:val="20"/>
          <w:lang w:val="en-US" w:eastAsia="zh-CN"/>
        </w:rPr>
      </w:pPr>
      <w:r>
        <w:rPr>
          <w:rFonts w:hint="eastAsia" w:ascii="仿宋_GB2312" w:hAnsi="Times New Roman" w:eastAsia="仿宋_GB2312" w:cs="Times New Roman"/>
          <w:spacing w:val="11"/>
          <w:sz w:val="28"/>
          <w:szCs w:val="20"/>
          <w:lang w:val="en-US" w:eastAsia="zh-CN"/>
        </w:rPr>
        <w:t>天健会计师事务所(特殊普通合伙），</w:t>
      </w:r>
    </w:p>
    <w:p>
      <w:pPr>
        <w:pBdr>
          <w:top w:val="single" w:color="auto" w:sz="8" w:space="6"/>
        </w:pBdr>
        <w:adjustRightInd w:val="0"/>
        <w:snapToGrid w:val="0"/>
        <w:spacing w:after="109" w:afterLines="35"/>
        <w:ind w:left="0" w:leftChars="0" w:firstLine="1259" w:firstLineChars="417"/>
        <w:rPr>
          <w:rFonts w:hint="eastAsia" w:ascii="仿宋_GB2312" w:hAnsi="Times New Roman" w:eastAsia="仿宋_GB2312" w:cs="Times New Roman"/>
          <w:spacing w:val="11"/>
          <w:sz w:val="28"/>
          <w:szCs w:val="20"/>
          <w:lang w:val="en-US" w:eastAsia="zh-CN"/>
        </w:rPr>
      </w:pPr>
      <w:r>
        <w:rPr>
          <w:rFonts w:hint="eastAsia" w:ascii="仿宋_GB2312" w:hAnsi="Times New Roman" w:eastAsia="仿宋_GB2312" w:cs="Times New Roman"/>
          <w:spacing w:val="11"/>
          <w:sz w:val="28"/>
          <w:szCs w:val="20"/>
          <w:lang w:val="en-US" w:eastAsia="zh-CN"/>
        </w:rPr>
        <w:t>民生证券股份有限公司。</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eastAsia="仿宋_GB2312"/>
          <w:spacing w:val="8"/>
          <w:sz w:val="28"/>
        </w:rPr>
      </w:pPr>
      <w:r>
        <w:rPr>
          <w:rFonts w:hint="eastAsia" w:ascii="仿宋_GB2312" w:eastAsia="仿宋_GB2312"/>
          <w:spacing w:val="8"/>
          <w:sz w:val="28"/>
        </w:rPr>
        <w:t xml:space="preserve">广东证监局办公室              </w:t>
      </w:r>
      <w:r>
        <w:rPr>
          <w:rFonts w:hint="default" w:ascii="仿宋_GB2312" w:eastAsia="仿宋_GB2312"/>
          <w:spacing w:val="8"/>
          <w:sz w:val="28"/>
          <w:lang w:val="en-US"/>
        </w:rPr>
        <w:t xml:space="preserve">    </w:t>
      </w:r>
      <w:r>
        <w:rPr>
          <w:rFonts w:hint="eastAsia" w:ascii="仿宋_GB2312" w:eastAsia="仿宋_GB2312"/>
          <w:spacing w:val="8"/>
          <w:sz w:val="28"/>
        </w:rPr>
        <w:t xml:space="preserve"> </w:t>
      </w:r>
      <w:r>
        <w:rPr>
          <w:rFonts w:hint="default" w:ascii="仿宋_GB2312" w:eastAsia="仿宋_GB2312"/>
          <w:spacing w:val="8"/>
          <w:sz w:val="28"/>
          <w:lang w:val="en" w:eastAsia="zh-CN"/>
        </w:rPr>
        <w:t>202</w:t>
      </w:r>
      <w:r>
        <w:rPr>
          <w:rFonts w:hint="default" w:ascii="仿宋_GB2312" w:eastAsia="仿宋_GB2312"/>
          <w:spacing w:val="8"/>
          <w:sz w:val="28"/>
          <w:lang w:val="en-US" w:eastAsia="zh-CN"/>
        </w:rPr>
        <w:t>5</w:t>
      </w:r>
      <w:r>
        <w:rPr>
          <w:rFonts w:hint="eastAsia" w:ascii="仿宋_GB2312" w:eastAsia="仿宋_GB2312"/>
          <w:spacing w:val="8"/>
          <w:sz w:val="28"/>
        </w:rPr>
        <w:t>年</w:t>
      </w:r>
      <w:r>
        <w:rPr>
          <w:rFonts w:hint="eastAsia" w:ascii="仿宋_GB2312" w:eastAsia="仿宋_GB2312"/>
          <w:spacing w:val="8"/>
          <w:sz w:val="28"/>
          <w:lang w:val="en-US" w:eastAsia="zh-CN"/>
        </w:rPr>
        <w:t>1</w:t>
      </w:r>
      <w:r>
        <w:rPr>
          <w:rFonts w:hint="default" w:ascii="仿宋_GB2312" w:eastAsia="仿宋_GB2312"/>
          <w:spacing w:val="8"/>
          <w:sz w:val="28"/>
          <w:lang w:val="en-US" w:eastAsia="zh-CN"/>
        </w:rPr>
        <w:t>2</w:t>
      </w:r>
      <w:r>
        <w:rPr>
          <w:rFonts w:hint="eastAsia" w:ascii="仿宋_GB2312" w:eastAsia="仿宋_GB2312"/>
          <w:spacing w:val="8"/>
          <w:sz w:val="28"/>
        </w:rPr>
        <w:t>月</w:t>
      </w:r>
      <w:r>
        <w:rPr>
          <w:rFonts w:hint="default" w:ascii="仿宋_GB2312" w:eastAsia="仿宋_GB2312"/>
          <w:spacing w:val="8"/>
          <w:sz w:val="28"/>
          <w:lang w:val="en-US"/>
        </w:rPr>
        <w:t>3</w:t>
      </w:r>
      <w:r>
        <w:rPr>
          <w:rFonts w:hint="eastAsia" w:ascii="仿宋_GB2312" w:eastAsia="仿宋_GB2312"/>
          <w:spacing w:val="8"/>
          <w:sz w:val="28"/>
        </w:rPr>
        <w:t>日印发</w:t>
      </w:r>
    </w:p>
    <w:p>
      <w:pPr>
        <w:keepNext w:val="0"/>
        <w:keepLines w:val="0"/>
        <w:pageBreakBefore w:val="0"/>
        <w:widowControl w:val="0"/>
        <w:pBdr>
          <w:top w:val="single" w:color="auto" w:sz="8" w:space="7"/>
        </w:pBdr>
        <w:kinsoku/>
        <w:wordWrap/>
        <w:overflowPunct/>
        <w:topLinePunct w:val="0"/>
        <w:autoSpaceDE/>
        <w:autoSpaceDN/>
        <w:bidi w:val="0"/>
        <w:adjustRightInd w:val="0"/>
        <w:snapToGrid w:val="0"/>
        <w:spacing w:beforeLines="0" w:afterLines="0" w:line="240" w:lineRule="auto"/>
        <w:ind w:firstLine="0"/>
        <w:jc w:val="left"/>
        <w:textAlignment w:val="auto"/>
        <w:rPr>
          <w:rFonts w:hint="eastAsia" w:ascii="仿宋_GB2312" w:eastAsia="仿宋_GB2312"/>
          <w:spacing w:val="8"/>
          <w:sz w:val="2"/>
          <w:szCs w:val="2"/>
        </w:rPr>
      </w:pPr>
    </w:p>
    <w:bookmarkEnd w:id="0"/>
    <w:p>
      <w:pPr>
        <w:snapToGrid w:val="0"/>
        <w:spacing w:beforeLines="0" w:afterLines="0"/>
        <w:rPr>
          <w:sz w:val="2"/>
          <w:szCs w:val="2"/>
        </w:rPr>
      </w:pPr>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BA025"/>
    <w:rsid w:val="3D8744AE"/>
    <w:rsid w:val="3FFA44D2"/>
    <w:rsid w:val="53DBA025"/>
    <w:rsid w:val="5D7FDB2E"/>
    <w:rsid w:val="5FB15BF3"/>
    <w:rsid w:val="73C71D1F"/>
    <w:rsid w:val="7FFFFE33"/>
    <w:rsid w:val="8BFF1FE8"/>
    <w:rsid w:val="AFF7AC4E"/>
    <w:rsid w:val="D7D9BAF5"/>
    <w:rsid w:val="DD1F9D42"/>
    <w:rsid w:val="EEFB0137"/>
    <w:rsid w:val="F1FA99D7"/>
    <w:rsid w:val="F79F2D87"/>
    <w:rsid w:val="FD9916E3"/>
    <w:rsid w:val="FEF00897"/>
    <w:rsid w:val="FFDB965E"/>
    <w:rsid w:val="FFFB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p0"/>
    <w:basedOn w:val="1"/>
    <w:qFormat/>
    <w:uiPriority w:val="0"/>
    <w:pPr>
      <w:widowControl/>
    </w:pPr>
    <w:rPr>
      <w:rFonts w:hint="eastAsia"/>
    </w:rPr>
  </w:style>
  <w:style w:type="paragraph" w:customStyle="1" w:styleId="9">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2023-08-12T13:00:00Z</dcterms:created>
  <dc:creator>彭遥</dc:creator>
  <cp:lastModifiedBy>彭遥</cp:lastModifiedBy>
  <dcterms:modified xsi:type="dcterms:W3CDTF">2023-09-15T14:52:54Z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076BAEF0C168680246FF0365B73334FA</vt:lpwstr>
  </property>
</Properties>
</file>