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600" w:lineRule="exact"/>
        <w:jc w:val="both"/>
        <w:rPr>
          <w:rFonts w:ascii="宋体" w:hAnsi="宋体" w:eastAsia="宋体" w:cs="Times New Roman"/>
          <w:kern w:val="2"/>
          <w:sz w:val="24"/>
          <w:szCs w:val="20"/>
          <w:lang w:val="en-US" w:bidi="ar-SA"/>
        </w:rPr>
      </w:pPr>
      <w:r>
        <w:rPr>
          <w:rFonts w:hint="eastAsia" w:ascii="宋体" w:hAnsi="宋体" w:eastAsia="宋体" w:cs="Times New Roman"/>
          <w:kern w:val="2"/>
          <w:sz w:val="24"/>
          <w:szCs w:val="20"/>
          <w:lang w:val="en-US" w:bidi="ar-SA"/>
        </w:rPr>
        <w:t>证券代码：688</w:t>
      </w:r>
      <w:r>
        <w:rPr>
          <w:rFonts w:ascii="宋体" w:hAnsi="宋体" w:eastAsia="宋体" w:cs="Times New Roman"/>
          <w:kern w:val="2"/>
          <w:sz w:val="24"/>
          <w:szCs w:val="20"/>
          <w:lang w:val="en-US" w:bidi="ar-SA"/>
        </w:rPr>
        <w:t xml:space="preserve">102 </w:t>
      </w:r>
      <w:r>
        <w:rPr>
          <w:rFonts w:hint="eastAsia" w:ascii="宋体" w:hAnsi="宋体" w:eastAsia="宋体" w:cs="Times New Roman"/>
          <w:kern w:val="2"/>
          <w:sz w:val="24"/>
          <w:szCs w:val="20"/>
          <w:lang w:val="en-US" w:bidi="ar-SA"/>
        </w:rPr>
        <w:t xml:space="preserve">                               </w:t>
      </w:r>
      <w:r>
        <w:rPr>
          <w:rFonts w:ascii="宋体" w:hAnsi="宋体" w:eastAsia="宋体" w:cs="Times New Roman"/>
          <w:kern w:val="2"/>
          <w:sz w:val="24"/>
          <w:szCs w:val="20"/>
          <w:lang w:val="en-US" w:bidi="ar-SA"/>
        </w:rPr>
        <w:t xml:space="preserve">  </w:t>
      </w:r>
      <w:r>
        <w:rPr>
          <w:rFonts w:hint="eastAsia" w:ascii="宋体" w:hAnsi="宋体" w:eastAsia="宋体" w:cs="Times New Roman"/>
          <w:kern w:val="2"/>
          <w:sz w:val="24"/>
          <w:szCs w:val="20"/>
          <w:lang w:val="en-US" w:bidi="ar-SA"/>
        </w:rPr>
        <w:t>证券简称：斯瑞新材</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陕西斯瑞新材料股份有限公司</w:t>
      </w:r>
    </w:p>
    <w:p>
      <w:pPr>
        <w:autoSpaceDE/>
        <w:autoSpaceDN/>
        <w:adjustRightInd w:val="0"/>
        <w:snapToGrid w:val="0"/>
        <w:spacing w:line="360" w:lineRule="auto"/>
        <w:jc w:val="center"/>
        <w:rPr>
          <w:rFonts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投资者关系活动记录表</w:t>
      </w:r>
    </w:p>
    <w:p>
      <w:pPr>
        <w:autoSpaceDE/>
        <w:adjustRightInd w:val="0"/>
        <w:snapToGrid w:val="0"/>
        <w:spacing w:line="600" w:lineRule="exact"/>
        <w:jc w:val="righ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bidi="ar-SA"/>
        </w:rPr>
        <w:t>编号：20</w:t>
      </w:r>
      <w:r>
        <w:rPr>
          <w:rFonts w:ascii="宋体" w:hAnsi="宋体" w:eastAsia="宋体" w:cs="Times New Roman"/>
          <w:kern w:val="2"/>
          <w:sz w:val="24"/>
          <w:szCs w:val="24"/>
          <w:lang w:val="en-US" w:bidi="ar-SA"/>
        </w:rPr>
        <w:t>2</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bidi="ar-SA"/>
        </w:rPr>
        <w:t>-0</w:t>
      </w:r>
      <w:r>
        <w:rPr>
          <w:rFonts w:hint="eastAsia" w:ascii="宋体" w:hAnsi="宋体" w:eastAsia="宋体" w:cs="Times New Roman"/>
          <w:kern w:val="2"/>
          <w:sz w:val="24"/>
          <w:szCs w:val="24"/>
          <w:lang w:val="en-US" w:eastAsia="zh-CN" w:bidi="ar-SA"/>
        </w:rPr>
        <w:t>27</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7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投资者关系</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活动类别</w:t>
            </w:r>
          </w:p>
        </w:tc>
        <w:tc>
          <w:tcPr>
            <w:tcW w:w="7284" w:type="dxa"/>
          </w:tcPr>
          <w:p>
            <w:pPr>
              <w:pStyle w:val="14"/>
              <w:tabs>
                <w:tab w:val="left" w:pos="2418"/>
              </w:tabs>
              <w:spacing w:before="1"/>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249780449"/>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rPr>
              <w:t>特</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pacing w:val="-3"/>
                <w:sz w:val="24"/>
                <w:szCs w:val="24"/>
              </w:rPr>
              <w:t>象</w:t>
            </w:r>
            <w:r>
              <w:rPr>
                <w:rFonts w:hint="eastAsia" w:asciiTheme="minorEastAsia" w:hAnsiTheme="minorEastAsia" w:eastAsiaTheme="minorEastAsia" w:cstheme="minorEastAsia"/>
                <w:sz w:val="24"/>
                <w:szCs w:val="24"/>
              </w:rPr>
              <w:t>调研</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44441209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Theme="minorEastAsia" w:cstheme="minorEastAsia"/>
                    <w:sz w:val="24"/>
                    <w:szCs w:val="24"/>
                  </w:rPr>
                  <w:t>☐</w:t>
                </w:r>
              </w:sdtContent>
            </w:sdt>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spacing w:val="-3"/>
                <w:sz w:val="24"/>
                <w:szCs w:val="24"/>
              </w:rPr>
              <w:t>会</w:t>
            </w:r>
            <w:r>
              <w:rPr>
                <w:rFonts w:hint="eastAsia" w:asciiTheme="minorEastAsia" w:hAnsiTheme="minorEastAsia" w:eastAsiaTheme="minorEastAsia" w:cstheme="minorEastAsia"/>
                <w:sz w:val="24"/>
                <w:szCs w:val="24"/>
              </w:rPr>
              <w:t>议</w:t>
            </w:r>
          </w:p>
          <w:p>
            <w:pPr>
              <w:pStyle w:val="14"/>
              <w:spacing w:before="11"/>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媒</w:t>
            </w:r>
            <w:r>
              <w:rPr>
                <w:rFonts w:hint="eastAsia" w:asciiTheme="minorEastAsia" w:hAnsiTheme="minorEastAsia" w:eastAsiaTheme="minorEastAsia" w:cstheme="minorEastAsia"/>
                <w:spacing w:val="-3"/>
                <w:sz w:val="24"/>
                <w:szCs w:val="24"/>
              </w:rPr>
              <w:t>体</w:t>
            </w:r>
            <w:r>
              <w:rPr>
                <w:rFonts w:hint="eastAsia" w:asciiTheme="minorEastAsia" w:hAnsiTheme="minorEastAsia" w:eastAsiaTheme="minorEastAsia" w:cstheme="minorEastAsia"/>
                <w:sz w:val="24"/>
                <w:szCs w:val="24"/>
              </w:rPr>
              <w:t>采访</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193801180"/>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业</w:t>
            </w:r>
            <w:r>
              <w:rPr>
                <w:rFonts w:hint="eastAsia" w:asciiTheme="minorEastAsia" w:hAnsiTheme="minorEastAsia" w:eastAsiaTheme="minorEastAsia" w:cstheme="minorEastAsia"/>
                <w:spacing w:val="-3"/>
                <w:sz w:val="24"/>
                <w:szCs w:val="24"/>
              </w:rPr>
              <w:t>绩</w:t>
            </w:r>
            <w:r>
              <w:rPr>
                <w:rFonts w:hint="eastAsia" w:asciiTheme="minorEastAsia" w:hAnsiTheme="minorEastAsia" w:eastAsiaTheme="minorEastAsia" w:cstheme="minorEastAsia"/>
                <w:sz w:val="24"/>
                <w:szCs w:val="24"/>
              </w:rPr>
              <w:t>说</w:t>
            </w:r>
            <w:r>
              <w:rPr>
                <w:rFonts w:hint="eastAsia" w:asciiTheme="minorEastAsia" w:hAnsiTheme="minorEastAsia" w:eastAsiaTheme="minorEastAsia" w:cstheme="minorEastAsia"/>
                <w:spacing w:val="-3"/>
                <w:sz w:val="24"/>
                <w:szCs w:val="24"/>
              </w:rPr>
              <w:t>明</w:t>
            </w:r>
            <w:r>
              <w:rPr>
                <w:rFonts w:hint="eastAsia" w:asciiTheme="minorEastAsia" w:hAnsiTheme="minorEastAsia" w:eastAsiaTheme="minorEastAsia" w:cstheme="minorEastAsia"/>
                <w:sz w:val="24"/>
                <w:szCs w:val="24"/>
              </w:rPr>
              <w:t>会</w:t>
            </w:r>
          </w:p>
          <w:p>
            <w:pPr>
              <w:pStyle w:val="14"/>
              <w:spacing w:before="8"/>
              <w:rPr>
                <w:rFonts w:asciiTheme="minorEastAsia" w:hAnsiTheme="minorEastAsia" w:eastAsiaTheme="minorEastAsia" w:cstheme="minorEastAsia"/>
                <w:sz w:val="24"/>
                <w:szCs w:val="24"/>
              </w:rPr>
            </w:pPr>
          </w:p>
          <w:p>
            <w:pPr>
              <w:pStyle w:val="14"/>
              <w:tabs>
                <w:tab w:val="left" w:pos="2418"/>
              </w:tabs>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48728546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新</w:t>
            </w:r>
            <w:r>
              <w:rPr>
                <w:rFonts w:hint="eastAsia" w:asciiTheme="minorEastAsia" w:hAnsiTheme="minorEastAsia" w:eastAsiaTheme="minorEastAsia" w:cstheme="minorEastAsia"/>
                <w:spacing w:val="-3"/>
                <w:sz w:val="24"/>
                <w:szCs w:val="24"/>
              </w:rPr>
              <w:t>闻</w:t>
            </w:r>
            <w:r>
              <w:rPr>
                <w:rFonts w:hint="eastAsia" w:asciiTheme="minorEastAsia" w:hAnsiTheme="minorEastAsia" w:eastAsiaTheme="minorEastAsia" w:cstheme="minorEastAsia"/>
                <w:sz w:val="24"/>
                <w:szCs w:val="24"/>
              </w:rPr>
              <w:t>发</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路</w:t>
            </w:r>
            <w:r>
              <w:rPr>
                <w:rFonts w:hint="eastAsia" w:asciiTheme="minorEastAsia" w:hAnsiTheme="minorEastAsia" w:eastAsiaTheme="minorEastAsia" w:cstheme="minorEastAsia"/>
                <w:spacing w:val="-3"/>
                <w:sz w:val="24"/>
                <w:szCs w:val="24"/>
              </w:rPr>
              <w:t>演</w:t>
            </w:r>
            <w:r>
              <w:rPr>
                <w:rFonts w:hint="eastAsia" w:asciiTheme="minorEastAsia" w:hAnsiTheme="minorEastAsia" w:eastAsiaTheme="minorEastAsia" w:cstheme="minorEastAsia"/>
                <w:sz w:val="24"/>
                <w:szCs w:val="24"/>
              </w:rPr>
              <w:t>活动</w:t>
            </w:r>
          </w:p>
          <w:p>
            <w:pPr>
              <w:pStyle w:val="14"/>
              <w:spacing w:before="8"/>
              <w:rPr>
                <w:rFonts w:asciiTheme="minorEastAsia" w:hAnsiTheme="minorEastAsia" w:eastAsiaTheme="minorEastAsia" w:cstheme="minorEastAsia"/>
                <w:sz w:val="24"/>
                <w:szCs w:val="24"/>
              </w:rPr>
            </w:pPr>
          </w:p>
          <w:p>
            <w:pPr>
              <w:pStyle w:val="14"/>
              <w:ind w:left="107"/>
              <w:rPr>
                <w:rFonts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075015990"/>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Wingdings 2" w:hAnsi="Wingdings 2" w:eastAsiaTheme="minorEastAsia" w:cstheme="minorEastAsia"/>
                    <w:sz w:val="24"/>
                    <w:szCs w:val="24"/>
                    <w:lang w:val="zh-CN" w:eastAsia="zh-CN" w:bidi="zh-CN"/>
                  </w:rPr>
                  <w:t>R</w:t>
                </w:r>
              </w:sdtContent>
            </w:sdt>
            <w:r>
              <w:rPr>
                <w:rFonts w:hint="eastAsia" w:asciiTheme="minorEastAsia" w:hAnsiTheme="minorEastAsia" w:eastAsiaTheme="minorEastAsia" w:cstheme="minorEastAsia"/>
                <w:sz w:val="24"/>
                <w:szCs w:val="24"/>
              </w:rPr>
              <w:t>现场参观</w:t>
            </w:r>
          </w:p>
          <w:p>
            <w:pPr>
              <w:pStyle w:val="14"/>
              <w:spacing w:before="11"/>
              <w:rPr>
                <w:rFonts w:asciiTheme="minorEastAsia" w:hAnsiTheme="minorEastAsia" w:eastAsiaTheme="minorEastAsia" w:cstheme="minorEastAsia"/>
                <w:sz w:val="24"/>
                <w:szCs w:val="24"/>
              </w:rPr>
            </w:pPr>
          </w:p>
          <w:p>
            <w:pPr>
              <w:pStyle w:val="14"/>
              <w:ind w:left="107"/>
              <w:rPr>
                <w:rFonts w:ascii="宋体" w:hAnsi="宋体" w:eastAsia="宋体" w:cs="宋体"/>
                <w:sz w:val="21"/>
              </w:rPr>
            </w:pPr>
            <w:sdt>
              <w:sdtPr>
                <w:rPr>
                  <w:rFonts w:hint="eastAsia" w:asciiTheme="minorEastAsia" w:hAnsiTheme="minorEastAsia" w:eastAsiaTheme="minorEastAsia" w:cstheme="minorEastAsia"/>
                  <w:sz w:val="24"/>
                  <w:szCs w:val="24"/>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line="560" w:lineRule="exact"/>
              <w:ind w:right="96"/>
              <w:jc w:val="center"/>
              <w:rPr>
                <w:rFonts w:ascii="宋体" w:hAnsi="宋体" w:eastAsia="宋体" w:cs="宋体"/>
                <w:b/>
                <w:bCs/>
                <w:sz w:val="24"/>
                <w:szCs w:val="24"/>
                <w:lang w:val="en-US"/>
              </w:rPr>
            </w:pPr>
            <w:r>
              <w:rPr>
                <w:rFonts w:hint="eastAsia" w:ascii="宋体" w:hAnsi="宋体" w:eastAsia="宋体" w:cs="宋体"/>
                <w:b/>
                <w:bCs/>
                <w:sz w:val="24"/>
                <w:szCs w:val="24"/>
                <w:lang w:val="en-US"/>
              </w:rPr>
              <w:t>形式</w:t>
            </w:r>
          </w:p>
        </w:tc>
        <w:tc>
          <w:tcPr>
            <w:tcW w:w="7284" w:type="dxa"/>
          </w:tcPr>
          <w:p>
            <w:pPr>
              <w:pStyle w:val="14"/>
              <w:spacing w:before="240" w:beforeLines="100" w:line="360" w:lineRule="auto"/>
              <w:ind w:left="108"/>
              <w:rPr>
                <w:rFonts w:ascii="宋体" w:hAnsi="宋体" w:eastAsia="宋体" w:cs="宋体"/>
                <w:sz w:val="26"/>
                <w:lang w:val="en-US"/>
              </w:rPr>
            </w:pPr>
            <w:sdt>
              <w:sdtPr>
                <w:rPr>
                  <w:rFonts w:hint="eastAsia" w:asciiTheme="minorEastAsia" w:hAnsiTheme="minorEastAsia" w:eastAsiaTheme="minorEastAsia" w:cstheme="minorEastAsia"/>
                  <w:sz w:val="24"/>
                  <w:szCs w:val="24"/>
                </w:rPr>
                <w:id w:val="201993987"/>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lang w:val="en-US"/>
              </w:rPr>
              <w:t xml:space="preserve">现场     </w:t>
            </w:r>
            <w:sdt>
              <w:sdtPr>
                <w:rPr>
                  <w:rFonts w:hint="eastAsia" w:asciiTheme="minorEastAsia" w:hAnsiTheme="minorEastAsia" w:eastAsiaTheme="minorEastAsia" w:cstheme="minorEastAsia"/>
                  <w:sz w:val="24"/>
                  <w:szCs w:val="24"/>
                </w:rPr>
                <w:id w:val="1858075833"/>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 xml:space="preserve">网上    </w:t>
            </w:r>
            <w:sdt>
              <w:sdtPr>
                <w:rPr>
                  <w:rFonts w:hint="eastAsia" w:asciiTheme="minorEastAsia" w:hAnsiTheme="minorEastAsia" w:eastAsiaTheme="minorEastAsia" w:cstheme="minorEastAsia"/>
                  <w:sz w:val="24"/>
                  <w:szCs w:val="24"/>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lang w:val="zh-CN" w:eastAsia="zh-CN" w:bidi="zh-CN"/>
                  </w:rPr>
                  <w:t>☐</w:t>
                </w:r>
              </w:sdtContent>
            </w:sdt>
            <w:r>
              <w:rPr>
                <w:rFonts w:hint="eastAsia" w:asciiTheme="minorEastAsia" w:hAnsiTheme="minorEastAsia" w:eastAsiaTheme="minorEastAsia" w:cstheme="minorEastAsia"/>
                <w:sz w:val="24"/>
                <w:szCs w:val="24"/>
                <w:lang w:val="en-US"/>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555" w:type="dxa"/>
            <w:vAlign w:val="center"/>
          </w:tcPr>
          <w:p>
            <w:pPr>
              <w:pStyle w:val="14"/>
              <w:spacing w:line="360" w:lineRule="auto"/>
              <w:ind w:right="96"/>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7284" w:type="dxa"/>
            <w:vAlign w:val="center"/>
          </w:tcPr>
          <w:tbl>
            <w:tblPr>
              <w:tblStyle w:val="11"/>
              <w:tblW w:w="4730" w:type="pct"/>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443"/>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序号</w:t>
                  </w:r>
                </w:p>
              </w:tc>
              <w:tc>
                <w:tcPr>
                  <w:tcW w:w="1777"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机构名称</w:t>
                  </w:r>
                </w:p>
              </w:tc>
              <w:tc>
                <w:tcPr>
                  <w:tcW w:w="2579" w:type="pct"/>
                </w:tcPr>
                <w:p>
                  <w:pPr>
                    <w:spacing w:line="360" w:lineRule="exact"/>
                    <w:ind w:right="96"/>
                    <w:jc w:val="center"/>
                    <w:rPr>
                      <w:rFonts w:cs="楷体" w:asciiTheme="minorEastAsia" w:hAnsiTheme="minorEastAsia" w:eastAsiaTheme="minorEastAsia"/>
                      <w:b/>
                      <w:bCs/>
                      <w:sz w:val="24"/>
                      <w:szCs w:val="24"/>
                      <w:lang w:val="en-US"/>
                    </w:rPr>
                  </w:pPr>
                  <w:r>
                    <w:rPr>
                      <w:rFonts w:hint="eastAsia" w:cs="楷体" w:asciiTheme="minorEastAsia" w:hAnsiTheme="minorEastAsia" w:eastAsiaTheme="minorEastAsia"/>
                      <w:b/>
                      <w:bCs/>
                      <w:sz w:val="24"/>
                      <w:szCs w:val="24"/>
                      <w:lang w:val="en-US"/>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西南证券</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刘倩倩、唐静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聚缘惠众私募基金</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胡海浪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天风证券</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朱晔、赵博源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4</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中信建投基金</w:t>
                  </w:r>
                </w:p>
              </w:tc>
              <w:tc>
                <w:tcPr>
                  <w:tcW w:w="2579"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钱博文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5</w:t>
                  </w:r>
                </w:p>
              </w:tc>
              <w:tc>
                <w:tcPr>
                  <w:tcW w:w="1777"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华宝基金</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刘赛赛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6</w:t>
                  </w:r>
                </w:p>
              </w:tc>
              <w:tc>
                <w:tcPr>
                  <w:tcW w:w="1777"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真科基金</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张聪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7</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国海证券</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李永磊、陈云、王鹏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8</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长城财富</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药晓东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9</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交银施罗德</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陈俊华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10</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博时基金</w:t>
                  </w:r>
                </w:p>
              </w:tc>
              <w:tc>
                <w:tcPr>
                  <w:tcW w:w="2579"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魏立、</w:t>
                  </w:r>
                  <w:r>
                    <w:rPr>
                      <w:rFonts w:hint="eastAsia" w:cs="楷体" w:asciiTheme="minorEastAsia" w:hAnsiTheme="minorEastAsia" w:eastAsiaTheme="minorEastAsia"/>
                      <w:sz w:val="24"/>
                      <w:szCs w:val="24"/>
                      <w:highlight w:val="none"/>
                      <w:lang w:val="en-US" w:eastAsia="zh-CN"/>
                    </w:rPr>
                    <w:t>蔡滨</w:t>
                  </w:r>
                  <w:r>
                    <w:rPr>
                      <w:rFonts w:hint="eastAsia" w:cs="楷体" w:asciiTheme="minorEastAsia" w:hAnsiTheme="minorEastAsia" w:eastAsiaTheme="minorEastAsia"/>
                      <w:sz w:val="24"/>
                      <w:szCs w:val="24"/>
                      <w:lang w:val="en-US" w:eastAsia="zh-CN"/>
                    </w:rPr>
                    <w:t>、万冠宇、陈曦、李佳、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11</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西部证券</w:t>
                  </w:r>
                </w:p>
              </w:tc>
              <w:tc>
                <w:tcPr>
                  <w:tcW w:w="2579"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张</w:t>
                  </w:r>
                  <w:r>
                    <w:rPr>
                      <w:rFonts w:hint="eastAsia" w:cs="楷体" w:asciiTheme="minorEastAsia" w:hAnsiTheme="minorEastAsia" w:eastAsiaTheme="minorEastAsia"/>
                      <w:sz w:val="24"/>
                      <w:szCs w:val="24"/>
                      <w:highlight w:val="none"/>
                      <w:lang w:val="en-US" w:eastAsia="zh-CN"/>
                    </w:rPr>
                    <w:t>恒晅</w:t>
                  </w:r>
                  <w:r>
                    <w:rPr>
                      <w:rFonts w:hint="eastAsia" w:cs="楷体" w:asciiTheme="minorEastAsia" w:hAnsiTheme="minorEastAsia" w:eastAsiaTheme="minorEastAsia"/>
                      <w:sz w:val="24"/>
                      <w:szCs w:val="24"/>
                      <w:lang w:val="en-US" w:eastAsia="zh-CN"/>
                    </w:rPr>
                    <w:t>、刘砚菲、</w:t>
                  </w:r>
                  <w:r>
                    <w:rPr>
                      <w:rFonts w:hint="eastAsia" w:cs="楷体" w:asciiTheme="minorEastAsia" w:hAnsiTheme="minorEastAsia" w:eastAsiaTheme="minorEastAsia"/>
                      <w:sz w:val="24"/>
                      <w:szCs w:val="24"/>
                      <w:highlight w:val="none"/>
                      <w:lang w:val="en-US" w:eastAsia="zh-CN"/>
                    </w:rPr>
                    <w:t>李雨泉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12</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兴业证券</w:t>
                  </w:r>
                </w:p>
              </w:tc>
              <w:tc>
                <w:tcPr>
                  <w:tcW w:w="2579"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李博彦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13</w:t>
                  </w:r>
                </w:p>
              </w:tc>
              <w:tc>
                <w:tcPr>
                  <w:tcW w:w="1777" w:type="pct"/>
                </w:tcPr>
                <w:p>
                  <w:pPr>
                    <w:spacing w:line="360" w:lineRule="exact"/>
                    <w:ind w:right="96"/>
                    <w:jc w:val="center"/>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华商基金</w:t>
                  </w:r>
                </w:p>
              </w:tc>
              <w:tc>
                <w:tcPr>
                  <w:tcW w:w="2579" w:type="pct"/>
                </w:tcPr>
                <w:p>
                  <w:pPr>
                    <w:spacing w:line="360" w:lineRule="exact"/>
                    <w:ind w:right="96"/>
                    <w:jc w:val="center"/>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彭雾、朱锟旭</w:t>
                  </w:r>
                </w:p>
              </w:tc>
            </w:tr>
          </w:tbl>
          <w:p>
            <w:pPr>
              <w:spacing w:line="360" w:lineRule="exact"/>
              <w:ind w:right="96"/>
              <w:jc w:val="both"/>
              <w:rPr>
                <w:rFonts w:cs="楷体" w:asciiTheme="minorEastAsia" w:hAnsiTheme="minorEastAsia" w:eastAsiaTheme="minorEastAsia"/>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7284" w:type="dxa"/>
            <w:vAlign w:val="center"/>
          </w:tcPr>
          <w:p>
            <w:pPr>
              <w:pStyle w:val="14"/>
              <w:spacing w:before="50" w:line="360" w:lineRule="exact"/>
              <w:ind w:left="108"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2025年12月9日-2025年12月11日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5" w:type="dxa"/>
            <w:vAlign w:val="center"/>
          </w:tcPr>
          <w:p>
            <w:pPr>
              <w:pStyle w:val="14"/>
              <w:ind w:left="107"/>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7284" w:type="dxa"/>
            <w:vAlign w:val="center"/>
          </w:tcPr>
          <w:p>
            <w:pPr>
              <w:pStyle w:val="14"/>
              <w:spacing w:before="50" w:line="360" w:lineRule="exact"/>
              <w:ind w:left="107" w:right="96"/>
              <w:rPr>
                <w:rFonts w:ascii="宋体" w:hAnsi="宋体" w:eastAsia="宋体"/>
                <w:color w:val="000000"/>
                <w:sz w:val="24"/>
                <w:lang w:val="en-US"/>
              </w:rPr>
            </w:pPr>
            <w:r>
              <w:rPr>
                <w:rFonts w:hint="eastAsia" w:ascii="宋体" w:hAnsi="宋体" w:eastAsia="宋体"/>
                <w:color w:val="000000"/>
                <w:sz w:val="24"/>
                <w:lang w:val="en-US"/>
              </w:rPr>
              <w:t>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上市公司接</w:t>
            </w:r>
          </w:p>
          <w:p>
            <w:pPr>
              <w:pStyle w:val="14"/>
              <w:spacing w:before="1"/>
              <w:jc w:val="center"/>
              <w:rPr>
                <w:rFonts w:ascii="宋体" w:hAnsi="宋体" w:eastAsia="宋体" w:cs="宋体"/>
                <w:b/>
                <w:bCs/>
                <w:sz w:val="24"/>
                <w:szCs w:val="24"/>
              </w:rPr>
            </w:pPr>
            <w:r>
              <w:rPr>
                <w:rFonts w:hint="eastAsia" w:ascii="宋体" w:hAnsi="宋体" w:eastAsia="宋体" w:cs="宋体"/>
                <w:b/>
                <w:bCs/>
                <w:sz w:val="24"/>
                <w:szCs w:val="24"/>
              </w:rPr>
              <w:t>待人员姓名</w:t>
            </w:r>
          </w:p>
        </w:tc>
        <w:tc>
          <w:tcPr>
            <w:tcW w:w="7284" w:type="dxa"/>
            <w:vAlign w:val="center"/>
          </w:tcPr>
          <w:p>
            <w:pPr>
              <w:pStyle w:val="14"/>
              <w:spacing w:before="120" w:beforeLines="50" w:after="120" w:afterLines="50" w:line="360" w:lineRule="exact"/>
              <w:ind w:right="96"/>
              <w:rPr>
                <w:rFonts w:hint="eastAsia" w:ascii="宋体" w:hAnsi="宋体" w:eastAsia="宋体"/>
                <w:color w:val="000000"/>
                <w:sz w:val="24"/>
                <w:lang w:val="en-US" w:eastAsia="zh-CN"/>
              </w:rPr>
            </w:pPr>
            <w:r>
              <w:rPr>
                <w:rFonts w:hint="eastAsia" w:ascii="宋体" w:hAnsi="宋体" w:eastAsia="宋体"/>
                <w:color w:val="000000"/>
                <w:sz w:val="24"/>
                <w:lang w:val="en-US" w:eastAsia="zh-CN"/>
              </w:rPr>
              <w:t>董事会秘书：王磊</w:t>
            </w:r>
          </w:p>
          <w:p>
            <w:pPr>
              <w:pStyle w:val="14"/>
              <w:spacing w:before="120" w:beforeLines="50" w:after="120" w:afterLines="50" w:line="360" w:lineRule="exact"/>
              <w:ind w:right="96"/>
              <w:rPr>
                <w:rFonts w:hint="default" w:ascii="宋体" w:hAnsi="宋体" w:eastAsia="宋体"/>
                <w:color w:val="000000"/>
                <w:sz w:val="24"/>
                <w:lang w:val="en-US" w:eastAsia="zh-CN"/>
              </w:rPr>
            </w:pPr>
            <w:r>
              <w:rPr>
                <w:rFonts w:hint="eastAsia" w:ascii="宋体" w:hAnsi="宋体" w:eastAsia="宋体"/>
                <w:color w:val="000000"/>
                <w:sz w:val="24"/>
                <w:lang w:val="en-US" w:eastAsia="zh-CN"/>
              </w:rPr>
              <w:t>投关专员：孙晓媛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1555" w:type="dxa"/>
            <w:vAlign w:val="center"/>
          </w:tcPr>
          <w:p>
            <w:pPr>
              <w:pStyle w:val="14"/>
              <w:spacing w:before="1" w:line="499" w:lineRule="auto"/>
              <w:ind w:right="96"/>
              <w:jc w:val="center"/>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7284" w:type="dxa"/>
          </w:tcPr>
          <w:p>
            <w:pPr>
              <w:numPr>
                <w:ilvl w:val="0"/>
                <w:numId w:val="1"/>
              </w:num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公司用于商业航天液体火箭发动机推力室内壁的材料是消耗性材料吗？现目前火箭发射后公司的内壁还能用吗？</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现阶段，国内用于卫星发射的火箭未有可回收成功的案例，公司的液体火箭发动机推力室内壁在实际发射上属于耗材。火箭发动机推力室内壁在高温高压的极端服役条件下，必须具有良好的耐高温、低周疲劳和导热性能。</w:t>
            </w:r>
          </w:p>
          <w:p>
            <w:pPr>
              <w:spacing w:line="400" w:lineRule="exact"/>
              <w:ind w:left="96" w:right="96"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公司火箭发动机推力室内壁产品，于2024年助力蓝箭航天朱雀三号VTVL-1可重复使用垂直起降回收试验箭十公里垂直起降飞行试验任务取得成功，九州云箭的液氧甲烷发动机完成10km级飞行的回收试验；于2025年上半年助力蓝箭航天朱雀三号可重复使用运载火箭一级动力系统试车成功。</w:t>
            </w:r>
          </w:p>
          <w:p>
            <w:pPr>
              <w:numPr>
                <w:ilvl w:val="0"/>
                <w:numId w:val="0"/>
              </w:numPr>
              <w:spacing w:line="400" w:lineRule="exact"/>
              <w:ind w:left="0" w:leftChars="0" w:right="96" w:rightChars="0" w:firstLine="0"/>
              <w:rPr>
                <w:rFonts w:hint="default" w:ascii="宋体" w:hAnsi="宋体" w:eastAsia="宋体" w:cs="宋体"/>
                <w:iCs/>
                <w:lang w:val="en-US" w:eastAsia="zh-CN"/>
              </w:rPr>
            </w:pPr>
          </w:p>
          <w:p>
            <w:pPr>
              <w:numPr>
                <w:ilvl w:val="0"/>
                <w:numId w:val="1"/>
              </w:numPr>
              <w:spacing w:line="400" w:lineRule="exact"/>
              <w:ind w:left="96" w:right="96"/>
              <w:rPr>
                <w:rFonts w:hint="eastAsia" w:ascii="宋体" w:hAnsi="宋体" w:eastAsia="宋体" w:cs="宋体"/>
                <w:b/>
                <w:iCs/>
                <w:lang w:val="en-US" w:eastAsia="zh-CN"/>
              </w:rPr>
            </w:pPr>
            <w:r>
              <w:rPr>
                <w:rFonts w:hint="eastAsia" w:ascii="宋体" w:hAnsi="宋体" w:eastAsia="宋体" w:cs="宋体"/>
                <w:b/>
                <w:iCs/>
                <w:lang w:val="en-US" w:eastAsia="zh-CN"/>
              </w:rPr>
              <w:t>公司是SpaceX的供应商吗？</w:t>
            </w:r>
          </w:p>
          <w:p>
            <w:pPr>
              <w:numPr>
                <w:ilvl w:val="0"/>
                <w:numId w:val="0"/>
              </w:numPr>
              <w:spacing w:line="400" w:lineRule="exact"/>
              <w:ind w:left="96" w:right="96" w:firstLine="440" w:firstLineChars="200"/>
              <w:rPr>
                <w:rFonts w:hint="eastAsia" w:ascii="宋体" w:hAnsi="宋体" w:eastAsia="宋体" w:cs="宋体"/>
                <w:b w:val="0"/>
                <w:iCs/>
                <w:lang w:val="en-US" w:eastAsia="zh-CN"/>
              </w:rPr>
            </w:pPr>
            <w:r>
              <w:rPr>
                <w:rFonts w:hint="eastAsia" w:ascii="宋体" w:hAnsi="宋体" w:eastAsia="宋体" w:cs="宋体"/>
                <w:b w:val="0"/>
                <w:iCs/>
                <w:lang w:val="en-US" w:eastAsia="zh-CN"/>
              </w:rPr>
              <w:t>答：公司目前不是SpaceX的供应商。</w:t>
            </w:r>
          </w:p>
          <w:p>
            <w:pPr>
              <w:numPr>
                <w:ilvl w:val="-1"/>
                <w:numId w:val="0"/>
              </w:numPr>
              <w:spacing w:line="400" w:lineRule="exact"/>
              <w:ind w:left="0" w:right="96"/>
              <w:rPr>
                <w:rFonts w:hint="default" w:ascii="宋体" w:hAnsi="宋体" w:eastAsia="宋体" w:cs="宋体"/>
                <w:b/>
                <w:iCs/>
                <w:lang w:val="en-US" w:eastAsia="zh-CN"/>
              </w:rPr>
            </w:pPr>
          </w:p>
          <w:p>
            <w:pPr>
              <w:spacing w:line="400" w:lineRule="exact"/>
              <w:ind w:left="96" w:right="96"/>
              <w:rPr>
                <w:rFonts w:hint="default" w:ascii="宋体" w:hAnsi="宋体" w:eastAsia="宋体" w:cs="宋体"/>
                <w:b/>
                <w:iCs/>
                <w:lang w:val="en-US" w:eastAsia="zh-CN"/>
              </w:rPr>
            </w:pPr>
            <w:r>
              <w:rPr>
                <w:rFonts w:hint="eastAsia" w:ascii="宋体" w:hAnsi="宋体" w:eastAsia="宋体" w:cs="宋体"/>
                <w:b/>
                <w:iCs/>
                <w:lang w:val="en-US" w:eastAsia="zh-CN"/>
              </w:rPr>
              <w:t>3、公司给CT和DR球管配套的零组件目前的产能有多少，达产以后能形成多少的收入？</w:t>
            </w:r>
          </w:p>
          <w:p>
            <w:pPr>
              <w:numPr>
                <w:ilvl w:val="0"/>
                <w:numId w:val="0"/>
              </w:numPr>
              <w:spacing w:line="400" w:lineRule="exact"/>
              <w:ind w:left="96" w:leftChars="0" w:right="96" w:rightChars="0" w:firstLine="440" w:firstLineChars="200"/>
              <w:rPr>
                <w:rFonts w:hint="eastAsia" w:ascii="宋体" w:hAnsi="宋体" w:eastAsia="宋体" w:cs="宋体"/>
                <w:iCs/>
                <w:lang w:val="en-US" w:eastAsia="zh-CN"/>
              </w:rPr>
            </w:pPr>
            <w:r>
              <w:rPr>
                <w:rFonts w:hint="eastAsia" w:ascii="宋体" w:hAnsi="宋体" w:eastAsia="宋体" w:cs="宋体"/>
                <w:iCs/>
                <w:lang w:val="en-US" w:eastAsia="zh-CN"/>
              </w:rPr>
              <w:t>答：公司启动建设年产3万套医疗影像装备等电真空用材料、零组件研发及产业化项目，项目建设完成后，预计将实现年产30,000套CT球管零组件、15,000套DR射线管零组件、500套直线加速器零组件、3,500套半导体产品组件和30,000套高电压用VI导电系统组件的生产能力。更多内容请您详见公司在上海证券交易所披露的《陕西斯瑞新材料股份有限公司2024年度向特定对象发行A股股票募集说明（注册稿）》。</w:t>
            </w:r>
          </w:p>
          <w:p>
            <w:pPr>
              <w:numPr>
                <w:ilvl w:val="0"/>
                <w:numId w:val="0"/>
              </w:numPr>
              <w:spacing w:line="400" w:lineRule="exact"/>
              <w:ind w:left="96" w:leftChars="0" w:right="96" w:rightChars="0" w:firstLine="440" w:firstLineChars="200"/>
              <w:rPr>
                <w:rFonts w:hint="eastAsia" w:ascii="宋体" w:hAnsi="宋体" w:eastAsia="宋体" w:cs="宋体"/>
                <w:iCs/>
                <w:lang w:val="en-US" w:eastAsia="zh-CN"/>
              </w:rPr>
            </w:pPr>
          </w:p>
          <w:p>
            <w:pPr>
              <w:spacing w:line="400" w:lineRule="exact"/>
              <w:ind w:left="96" w:right="96"/>
              <w:rPr>
                <w:rFonts w:hint="eastAsia" w:ascii="宋体" w:hAnsi="宋体" w:eastAsia="宋体" w:cs="宋体"/>
                <w:b/>
                <w:iCs/>
                <w:lang w:val="en-US" w:eastAsia="zh-CN"/>
              </w:rPr>
            </w:pPr>
            <w:r>
              <w:rPr>
                <w:rFonts w:hint="eastAsia" w:ascii="宋体" w:hAnsi="宋体" w:eastAsia="宋体" w:cs="宋体"/>
                <w:b/>
                <w:iCs/>
                <w:lang w:val="en-US" w:eastAsia="zh-CN"/>
              </w:rPr>
              <w:t>4、金属材料价格上涨对公司利润影响大吗？</w:t>
            </w:r>
          </w:p>
          <w:p>
            <w:pPr>
              <w:numPr>
                <w:ilvl w:val="0"/>
                <w:numId w:val="0"/>
              </w:numPr>
              <w:spacing w:line="400" w:lineRule="exact"/>
              <w:ind w:left="96" w:leftChars="0" w:right="96" w:rightChars="0" w:firstLine="440" w:firstLineChars="200"/>
              <w:rPr>
                <w:rFonts w:hint="default" w:ascii="宋体" w:hAnsi="宋体" w:eastAsia="宋体" w:cs="宋体"/>
                <w:iCs/>
                <w:lang w:val="en-US" w:eastAsia="zh-CN"/>
              </w:rPr>
            </w:pPr>
            <w:r>
              <w:rPr>
                <w:rFonts w:hint="default" w:ascii="宋体" w:hAnsi="宋体" w:eastAsia="宋体" w:cs="宋体"/>
                <w:iCs/>
                <w:lang w:val="en-US" w:eastAsia="zh-CN"/>
              </w:rPr>
              <w:t>答:公司产品的定价模式主要有敞口定价和闭口定价，闭口定价的产品在原材料波动超过一定的范围时，会启动调价。敞口定价的产品，原材料的波动不影响加工费的金额，对利润影响不大</w:t>
            </w:r>
            <w:r>
              <w:rPr>
                <w:rFonts w:hint="eastAsia" w:ascii="宋体" w:hAnsi="宋体" w:eastAsia="宋体" w:cs="宋体"/>
                <w:iCs/>
                <w:lang w:val="en-US" w:eastAsia="zh-CN"/>
              </w:rPr>
              <w:t>，但原材料价格上涨，对公司毛利率有影响。</w:t>
            </w:r>
            <w:bookmarkStart w:id="0" w:name="_GoBack"/>
            <w:bookmarkEnd w:id="0"/>
          </w:p>
          <w:p>
            <w:pPr>
              <w:numPr>
                <w:ilvl w:val="0"/>
                <w:numId w:val="0"/>
              </w:numPr>
              <w:spacing w:line="400" w:lineRule="exact"/>
              <w:ind w:right="96" w:rightChars="0"/>
              <w:rPr>
                <w:rFonts w:hint="default" w:ascii="宋体" w:hAnsi="宋体" w:eastAsia="宋体" w:cs="宋体"/>
                <w:iCs/>
                <w:lang w:val="en-US" w:eastAsia="zh-CN"/>
              </w:rPr>
            </w:pPr>
          </w:p>
          <w:p>
            <w:pPr>
              <w:spacing w:line="400" w:lineRule="exact"/>
              <w:ind w:left="96" w:right="96"/>
              <w:rPr>
                <w:rFonts w:hint="eastAsia" w:ascii="宋体" w:hAnsi="宋体" w:eastAsia="宋体" w:cs="宋体"/>
                <w:b/>
                <w:iCs/>
                <w:lang w:val="en-US" w:eastAsia="zh-CN"/>
              </w:rPr>
            </w:pPr>
            <w:r>
              <w:rPr>
                <w:rFonts w:hint="eastAsia" w:ascii="宋体" w:hAnsi="宋体" w:eastAsia="宋体" w:cs="宋体"/>
                <w:b/>
                <w:iCs/>
                <w:lang w:val="en-US" w:eastAsia="zh-CN"/>
              </w:rPr>
              <w:t>5、公司的金属铬粉主要的下游应用在哪些领域？</w:t>
            </w:r>
          </w:p>
          <w:p>
            <w:pPr>
              <w:numPr>
                <w:ilvl w:val="0"/>
                <w:numId w:val="0"/>
              </w:numPr>
              <w:spacing w:line="400" w:lineRule="exact"/>
              <w:ind w:right="96" w:rightChars="0" w:firstLine="440" w:firstLineChars="200"/>
              <w:rPr>
                <w:rFonts w:hint="default" w:ascii="宋体" w:hAnsi="宋体" w:eastAsia="宋体" w:cs="宋体"/>
                <w:iCs/>
                <w:lang w:val="en-US" w:eastAsia="zh-CN"/>
              </w:rPr>
            </w:pPr>
            <w:r>
              <w:rPr>
                <w:rFonts w:hint="default" w:ascii="宋体" w:hAnsi="宋体" w:eastAsia="宋体" w:cs="宋体"/>
                <w:iCs/>
                <w:lang w:val="en-US" w:eastAsia="zh-CN"/>
              </w:rPr>
              <w:t>答：高性能金属铬粉产品系列包括高纯低气铬粉、真空级高纯铬、球形铬粉、片层状铬粉和超细铬粉等，公司是国内首家成功应用低温液氮技术，批量制造并向全球批量供应低氧、低氮、低硫、低酸不溶物高性能金属铬粉的企业，被广泛应用于中高压电接触材料、高端高温合金、高端靶材、表面喷涂、电子行业等领域。</w:t>
            </w:r>
          </w:p>
          <w:p>
            <w:pPr>
              <w:numPr>
                <w:ilvl w:val="0"/>
                <w:numId w:val="0"/>
              </w:numPr>
              <w:spacing w:line="400" w:lineRule="exact"/>
              <w:ind w:right="96" w:rightChars="0" w:firstLine="440" w:firstLineChars="200"/>
              <w:rPr>
                <w:rFonts w:hint="default" w:ascii="宋体" w:hAnsi="宋体" w:eastAsia="宋体" w:cs="宋体"/>
                <w:i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附件清单</w:t>
            </w:r>
          </w:p>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（如有）</w:t>
            </w:r>
          </w:p>
        </w:tc>
        <w:tc>
          <w:tcPr>
            <w:tcW w:w="7284" w:type="dxa"/>
            <w:vAlign w:val="center"/>
          </w:tcPr>
          <w:p>
            <w:pPr>
              <w:pStyle w:val="14"/>
              <w:spacing w:line="360" w:lineRule="exact"/>
              <w:ind w:left="108" w:right="96"/>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日期</w:t>
            </w:r>
          </w:p>
        </w:tc>
        <w:tc>
          <w:tcPr>
            <w:tcW w:w="7284" w:type="dxa"/>
            <w:vAlign w:val="center"/>
          </w:tcPr>
          <w:p>
            <w:pPr>
              <w:pStyle w:val="14"/>
              <w:spacing w:line="360" w:lineRule="exact"/>
              <w:ind w:left="108" w:right="96"/>
              <w:rPr>
                <w:rFonts w:hint="default" w:ascii="宋体" w:hAnsi="宋体" w:eastAsia="宋体" w:cs="宋体"/>
                <w:sz w:val="24"/>
                <w:szCs w:val="24"/>
                <w:lang w:val="en-US" w:eastAsia="zh-CN"/>
              </w:rPr>
            </w:pPr>
            <w:r>
              <w:rPr>
                <w:rFonts w:hint="eastAsia" w:ascii="宋体" w:hAnsi="宋体" w:eastAsia="宋体"/>
                <w:color w:val="000000"/>
                <w:sz w:val="24"/>
                <w:lang w:val="en-US" w:eastAsia="zh-CN"/>
              </w:rPr>
              <w:t>2025年12月9日-2025年12月11日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pPr>
              <w:pStyle w:val="14"/>
              <w:spacing w:before="1"/>
              <w:ind w:left="107"/>
              <w:jc w:val="center"/>
              <w:rPr>
                <w:rFonts w:ascii="宋体" w:hAnsi="宋体" w:eastAsia="宋体" w:cs="宋体"/>
                <w:b/>
                <w:bCs/>
                <w:sz w:val="24"/>
                <w:szCs w:val="24"/>
              </w:rPr>
            </w:pPr>
            <w:r>
              <w:rPr>
                <w:rFonts w:hint="eastAsia" w:ascii="宋体" w:hAnsi="宋体" w:eastAsia="宋体" w:cs="宋体"/>
                <w:b/>
                <w:bCs/>
                <w:sz w:val="24"/>
                <w:szCs w:val="24"/>
              </w:rPr>
              <w:t>备注</w:t>
            </w:r>
          </w:p>
        </w:tc>
        <w:tc>
          <w:tcPr>
            <w:tcW w:w="7284" w:type="dxa"/>
            <w:vAlign w:val="center"/>
          </w:tcPr>
          <w:p>
            <w:pPr>
              <w:pStyle w:val="14"/>
              <w:spacing w:before="72" w:beforeLines="30" w:after="72" w:afterLines="30" w:line="400" w:lineRule="exact"/>
              <w:ind w:left="108" w:right="96"/>
              <w:rPr>
                <w:rFonts w:ascii="宋体" w:hAnsi="宋体" w:eastAsia="宋体"/>
                <w:color w:val="000000"/>
                <w:sz w:val="24"/>
                <w:lang w:val="en-US"/>
              </w:rPr>
            </w:pPr>
            <w:r>
              <w:rPr>
                <w:rFonts w:hint="eastAsia" w:ascii="宋体" w:hAnsi="宋体" w:eastAsia="宋体"/>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pPr>
        <w:spacing w:line="20" w:lineRule="exact"/>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Times New Roman (标题 CS)">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DC439"/>
    <w:multiLevelType w:val="singleLevel"/>
    <w:tmpl w:val="4C8DC4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2NiOWZjYzRmYjQyMTYyMDhkMWIzYmUxNGE4OGMifQ=="/>
    <w:docVar w:name="KSO_WPS_MARK_KEY" w:val="88f27b7e-cb3e-4312-8117-a55fa9a2a2a0"/>
  </w:docVars>
  <w:rsids>
    <w:rsidRoot w:val="00172A27"/>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0B26"/>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483505"/>
    <w:rsid w:val="01630EE9"/>
    <w:rsid w:val="0204742C"/>
    <w:rsid w:val="020D090D"/>
    <w:rsid w:val="022140CB"/>
    <w:rsid w:val="02AA762D"/>
    <w:rsid w:val="02DA018C"/>
    <w:rsid w:val="03CA0871"/>
    <w:rsid w:val="03EE5963"/>
    <w:rsid w:val="04051239"/>
    <w:rsid w:val="046C750A"/>
    <w:rsid w:val="0478216E"/>
    <w:rsid w:val="04B072D4"/>
    <w:rsid w:val="05171224"/>
    <w:rsid w:val="05F575D4"/>
    <w:rsid w:val="061600EE"/>
    <w:rsid w:val="063B6430"/>
    <w:rsid w:val="06414674"/>
    <w:rsid w:val="064249C6"/>
    <w:rsid w:val="06581AF4"/>
    <w:rsid w:val="06824DC3"/>
    <w:rsid w:val="06B255BD"/>
    <w:rsid w:val="06EB0BBA"/>
    <w:rsid w:val="073267E9"/>
    <w:rsid w:val="07B471FE"/>
    <w:rsid w:val="07D77390"/>
    <w:rsid w:val="08641132"/>
    <w:rsid w:val="08940D0B"/>
    <w:rsid w:val="08F57ACE"/>
    <w:rsid w:val="09047D11"/>
    <w:rsid w:val="09186774"/>
    <w:rsid w:val="0945438F"/>
    <w:rsid w:val="0966277A"/>
    <w:rsid w:val="09DC0A30"/>
    <w:rsid w:val="0A333029"/>
    <w:rsid w:val="0A71587A"/>
    <w:rsid w:val="0B25541E"/>
    <w:rsid w:val="0B792C38"/>
    <w:rsid w:val="0BD065D0"/>
    <w:rsid w:val="0C28640C"/>
    <w:rsid w:val="0C4867C0"/>
    <w:rsid w:val="0C650BD6"/>
    <w:rsid w:val="0D0B777A"/>
    <w:rsid w:val="0D957270"/>
    <w:rsid w:val="0DE25B7D"/>
    <w:rsid w:val="0E90599A"/>
    <w:rsid w:val="0ED40902"/>
    <w:rsid w:val="0ED720CD"/>
    <w:rsid w:val="0F096F10"/>
    <w:rsid w:val="0F390735"/>
    <w:rsid w:val="0F933B9D"/>
    <w:rsid w:val="0FA45DAA"/>
    <w:rsid w:val="0FA964A5"/>
    <w:rsid w:val="0FE4089C"/>
    <w:rsid w:val="0FF7237E"/>
    <w:rsid w:val="100E1475"/>
    <w:rsid w:val="105A46BB"/>
    <w:rsid w:val="10AB3168"/>
    <w:rsid w:val="110C3C07"/>
    <w:rsid w:val="11FF19BD"/>
    <w:rsid w:val="12070CAE"/>
    <w:rsid w:val="12403D1B"/>
    <w:rsid w:val="12582B20"/>
    <w:rsid w:val="127F2161"/>
    <w:rsid w:val="129E4D32"/>
    <w:rsid w:val="12E017EF"/>
    <w:rsid w:val="1380268A"/>
    <w:rsid w:val="13F13588"/>
    <w:rsid w:val="145F688C"/>
    <w:rsid w:val="148B12E6"/>
    <w:rsid w:val="14A8633C"/>
    <w:rsid w:val="15DD2205"/>
    <w:rsid w:val="15FB468B"/>
    <w:rsid w:val="161A5018"/>
    <w:rsid w:val="168C5DC3"/>
    <w:rsid w:val="16B438BD"/>
    <w:rsid w:val="16EF3DAF"/>
    <w:rsid w:val="17065FEC"/>
    <w:rsid w:val="173619DD"/>
    <w:rsid w:val="17591B70"/>
    <w:rsid w:val="17A67110"/>
    <w:rsid w:val="18221B75"/>
    <w:rsid w:val="1864189B"/>
    <w:rsid w:val="18D73A7D"/>
    <w:rsid w:val="19297320"/>
    <w:rsid w:val="19557370"/>
    <w:rsid w:val="197A4F64"/>
    <w:rsid w:val="1A181B0C"/>
    <w:rsid w:val="1A4E1523"/>
    <w:rsid w:val="1A7E6258"/>
    <w:rsid w:val="1AF22E73"/>
    <w:rsid w:val="1B8B6070"/>
    <w:rsid w:val="1BD06B6A"/>
    <w:rsid w:val="1BE0016A"/>
    <w:rsid w:val="1C47450A"/>
    <w:rsid w:val="1C4C1CA3"/>
    <w:rsid w:val="1C633D09"/>
    <w:rsid w:val="1C6B44E3"/>
    <w:rsid w:val="1D7D523F"/>
    <w:rsid w:val="1D8F0333"/>
    <w:rsid w:val="1DBE04B0"/>
    <w:rsid w:val="1DE95394"/>
    <w:rsid w:val="1E05210A"/>
    <w:rsid w:val="1E0D0252"/>
    <w:rsid w:val="1EBF79AF"/>
    <w:rsid w:val="1EEE7042"/>
    <w:rsid w:val="1F122D30"/>
    <w:rsid w:val="1F4B189E"/>
    <w:rsid w:val="1F5F3A9B"/>
    <w:rsid w:val="1F782BDE"/>
    <w:rsid w:val="1FFE264A"/>
    <w:rsid w:val="20032679"/>
    <w:rsid w:val="20250841"/>
    <w:rsid w:val="20452C91"/>
    <w:rsid w:val="206C2914"/>
    <w:rsid w:val="20D64231"/>
    <w:rsid w:val="21004E0A"/>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4F5D66"/>
    <w:rsid w:val="296C128F"/>
    <w:rsid w:val="29791CCE"/>
    <w:rsid w:val="297A7E50"/>
    <w:rsid w:val="29BF079F"/>
    <w:rsid w:val="29EE0E64"/>
    <w:rsid w:val="2A273408"/>
    <w:rsid w:val="2A7B2EDB"/>
    <w:rsid w:val="2AC76ABE"/>
    <w:rsid w:val="2ACF7D27"/>
    <w:rsid w:val="2AF7181A"/>
    <w:rsid w:val="2C567FD4"/>
    <w:rsid w:val="2CAF6062"/>
    <w:rsid w:val="2CBC2F0D"/>
    <w:rsid w:val="2CFA7050"/>
    <w:rsid w:val="2D173798"/>
    <w:rsid w:val="2D356C58"/>
    <w:rsid w:val="2D752406"/>
    <w:rsid w:val="2DC378EB"/>
    <w:rsid w:val="2DE5106D"/>
    <w:rsid w:val="2E494294"/>
    <w:rsid w:val="2ECD5E7B"/>
    <w:rsid w:val="2EF90F16"/>
    <w:rsid w:val="2F125C63"/>
    <w:rsid w:val="2F666780"/>
    <w:rsid w:val="2F6F7D2B"/>
    <w:rsid w:val="2FB6213D"/>
    <w:rsid w:val="2FFD0E93"/>
    <w:rsid w:val="301306B6"/>
    <w:rsid w:val="302C3D0A"/>
    <w:rsid w:val="30751371"/>
    <w:rsid w:val="30A532D8"/>
    <w:rsid w:val="30DF3357"/>
    <w:rsid w:val="32054C26"/>
    <w:rsid w:val="322E57C9"/>
    <w:rsid w:val="32A41A99"/>
    <w:rsid w:val="331134C5"/>
    <w:rsid w:val="33B2589D"/>
    <w:rsid w:val="33D53ED4"/>
    <w:rsid w:val="33DE31BB"/>
    <w:rsid w:val="33E81E5A"/>
    <w:rsid w:val="34441786"/>
    <w:rsid w:val="34D120DE"/>
    <w:rsid w:val="34D80120"/>
    <w:rsid w:val="353D61D5"/>
    <w:rsid w:val="35415CF9"/>
    <w:rsid w:val="356B2D84"/>
    <w:rsid w:val="357F2555"/>
    <w:rsid w:val="358931C8"/>
    <w:rsid w:val="36080591"/>
    <w:rsid w:val="364354F6"/>
    <w:rsid w:val="36EE59D9"/>
    <w:rsid w:val="374101FF"/>
    <w:rsid w:val="37555A58"/>
    <w:rsid w:val="383657B7"/>
    <w:rsid w:val="389C49C0"/>
    <w:rsid w:val="38B90269"/>
    <w:rsid w:val="39BC78F4"/>
    <w:rsid w:val="3A225A50"/>
    <w:rsid w:val="3A2F4608"/>
    <w:rsid w:val="3AD153F6"/>
    <w:rsid w:val="3B111C96"/>
    <w:rsid w:val="3B1B48C3"/>
    <w:rsid w:val="3B893F22"/>
    <w:rsid w:val="3BDE1E79"/>
    <w:rsid w:val="3C8A61A4"/>
    <w:rsid w:val="3D0870C9"/>
    <w:rsid w:val="3D5F1032"/>
    <w:rsid w:val="3DC47494"/>
    <w:rsid w:val="3E4A5C08"/>
    <w:rsid w:val="3E4E31FF"/>
    <w:rsid w:val="3EE37DED"/>
    <w:rsid w:val="3EF1250A"/>
    <w:rsid w:val="3F0C4A6A"/>
    <w:rsid w:val="3F512FA9"/>
    <w:rsid w:val="3F5B5BD6"/>
    <w:rsid w:val="3FB7862D"/>
    <w:rsid w:val="3FFD0985"/>
    <w:rsid w:val="40387CC5"/>
    <w:rsid w:val="40567DB0"/>
    <w:rsid w:val="40FF5CD2"/>
    <w:rsid w:val="4125649B"/>
    <w:rsid w:val="42444AD8"/>
    <w:rsid w:val="42DB40B0"/>
    <w:rsid w:val="43727992"/>
    <w:rsid w:val="439873F8"/>
    <w:rsid w:val="43B71B0A"/>
    <w:rsid w:val="43C71A8C"/>
    <w:rsid w:val="43F403A7"/>
    <w:rsid w:val="449851D6"/>
    <w:rsid w:val="449B6576"/>
    <w:rsid w:val="44C9029A"/>
    <w:rsid w:val="44FA0589"/>
    <w:rsid w:val="456F4189"/>
    <w:rsid w:val="45A1630C"/>
    <w:rsid w:val="45A663E3"/>
    <w:rsid w:val="465670F7"/>
    <w:rsid w:val="465A2F8B"/>
    <w:rsid w:val="4665558C"/>
    <w:rsid w:val="4682613E"/>
    <w:rsid w:val="469F09AF"/>
    <w:rsid w:val="46BA7686"/>
    <w:rsid w:val="47121270"/>
    <w:rsid w:val="472114B3"/>
    <w:rsid w:val="472D7E58"/>
    <w:rsid w:val="47835EAB"/>
    <w:rsid w:val="47906638"/>
    <w:rsid w:val="47AB5C99"/>
    <w:rsid w:val="47E14131"/>
    <w:rsid w:val="485D651B"/>
    <w:rsid w:val="48C06A4A"/>
    <w:rsid w:val="494D2A33"/>
    <w:rsid w:val="498B6799"/>
    <w:rsid w:val="49D56585"/>
    <w:rsid w:val="49FE5ADB"/>
    <w:rsid w:val="4A445BB8"/>
    <w:rsid w:val="4A9D7706"/>
    <w:rsid w:val="4B2038C4"/>
    <w:rsid w:val="4B756271"/>
    <w:rsid w:val="4C1C1A73"/>
    <w:rsid w:val="4C8E1CA8"/>
    <w:rsid w:val="4CD74C68"/>
    <w:rsid w:val="4CE865CF"/>
    <w:rsid w:val="4D6D36A4"/>
    <w:rsid w:val="4EC55959"/>
    <w:rsid w:val="4FD70F36"/>
    <w:rsid w:val="50342257"/>
    <w:rsid w:val="50B67FB7"/>
    <w:rsid w:val="50C8299F"/>
    <w:rsid w:val="50CA5A8F"/>
    <w:rsid w:val="510903EF"/>
    <w:rsid w:val="51F966D2"/>
    <w:rsid w:val="52B21B59"/>
    <w:rsid w:val="52EA12F3"/>
    <w:rsid w:val="53327727"/>
    <w:rsid w:val="536A5F90"/>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E6596"/>
    <w:rsid w:val="595F38FA"/>
    <w:rsid w:val="59A40218"/>
    <w:rsid w:val="59BE5287"/>
    <w:rsid w:val="5A666D76"/>
    <w:rsid w:val="5A7051BF"/>
    <w:rsid w:val="5AA90E03"/>
    <w:rsid w:val="5AC752A1"/>
    <w:rsid w:val="5AF70A51"/>
    <w:rsid w:val="5B0514E5"/>
    <w:rsid w:val="5B2253C2"/>
    <w:rsid w:val="5B5163B3"/>
    <w:rsid w:val="5B9E24B5"/>
    <w:rsid w:val="5BE251E0"/>
    <w:rsid w:val="5C89415A"/>
    <w:rsid w:val="5CF27722"/>
    <w:rsid w:val="5D476B64"/>
    <w:rsid w:val="5E36363E"/>
    <w:rsid w:val="5E7922CB"/>
    <w:rsid w:val="5EAB42F7"/>
    <w:rsid w:val="5EAD2468"/>
    <w:rsid w:val="5EBD5B0D"/>
    <w:rsid w:val="5F105C3D"/>
    <w:rsid w:val="5F681F1D"/>
    <w:rsid w:val="5F9335B0"/>
    <w:rsid w:val="5FB46F10"/>
    <w:rsid w:val="60067040"/>
    <w:rsid w:val="603269D2"/>
    <w:rsid w:val="60762418"/>
    <w:rsid w:val="608368E3"/>
    <w:rsid w:val="608763D3"/>
    <w:rsid w:val="60FB46CB"/>
    <w:rsid w:val="612155A1"/>
    <w:rsid w:val="619E1C26"/>
    <w:rsid w:val="61A52BCA"/>
    <w:rsid w:val="61DD26C8"/>
    <w:rsid w:val="61FFE166"/>
    <w:rsid w:val="622930FA"/>
    <w:rsid w:val="622E6ED9"/>
    <w:rsid w:val="62775FD3"/>
    <w:rsid w:val="62922E0D"/>
    <w:rsid w:val="62CC631F"/>
    <w:rsid w:val="62DA47CE"/>
    <w:rsid w:val="62E775FD"/>
    <w:rsid w:val="62EA6377"/>
    <w:rsid w:val="631D06CC"/>
    <w:rsid w:val="63500CFE"/>
    <w:rsid w:val="63587FF4"/>
    <w:rsid w:val="635F53E5"/>
    <w:rsid w:val="63BE5D15"/>
    <w:rsid w:val="64460353"/>
    <w:rsid w:val="646A4041"/>
    <w:rsid w:val="646C7CD0"/>
    <w:rsid w:val="647E189B"/>
    <w:rsid w:val="656569C2"/>
    <w:rsid w:val="65985B50"/>
    <w:rsid w:val="65A62C59"/>
    <w:rsid w:val="66A9405E"/>
    <w:rsid w:val="66BE682F"/>
    <w:rsid w:val="66E70103"/>
    <w:rsid w:val="67095496"/>
    <w:rsid w:val="67EC43D0"/>
    <w:rsid w:val="67ED7463"/>
    <w:rsid w:val="681A546A"/>
    <w:rsid w:val="686F7E78"/>
    <w:rsid w:val="692426B2"/>
    <w:rsid w:val="69AF24F6"/>
    <w:rsid w:val="69CB37D4"/>
    <w:rsid w:val="6A0D5B9B"/>
    <w:rsid w:val="6A3B23B1"/>
    <w:rsid w:val="6A4B1DB7"/>
    <w:rsid w:val="6AEA32DC"/>
    <w:rsid w:val="6B6B01C8"/>
    <w:rsid w:val="6B8005EE"/>
    <w:rsid w:val="6BC04E8F"/>
    <w:rsid w:val="6BCF343F"/>
    <w:rsid w:val="6C042FCD"/>
    <w:rsid w:val="6C7D68DC"/>
    <w:rsid w:val="6CC249AA"/>
    <w:rsid w:val="6CC24AB5"/>
    <w:rsid w:val="6CD472E6"/>
    <w:rsid w:val="6D082649"/>
    <w:rsid w:val="6D094746"/>
    <w:rsid w:val="6D390A55"/>
    <w:rsid w:val="6D6D6950"/>
    <w:rsid w:val="6D9271B2"/>
    <w:rsid w:val="6DC36570"/>
    <w:rsid w:val="6DE2733E"/>
    <w:rsid w:val="6DFD4599"/>
    <w:rsid w:val="6E0A1FF1"/>
    <w:rsid w:val="6E160D96"/>
    <w:rsid w:val="6E304C46"/>
    <w:rsid w:val="6E453CB7"/>
    <w:rsid w:val="6EC319C3"/>
    <w:rsid w:val="6F134790"/>
    <w:rsid w:val="6F285225"/>
    <w:rsid w:val="6F5B73A8"/>
    <w:rsid w:val="6FB371C8"/>
    <w:rsid w:val="6FD26F3F"/>
    <w:rsid w:val="70030B0E"/>
    <w:rsid w:val="701B08E6"/>
    <w:rsid w:val="7080699B"/>
    <w:rsid w:val="70AE50FA"/>
    <w:rsid w:val="70EB650A"/>
    <w:rsid w:val="70F4130B"/>
    <w:rsid w:val="71347EB1"/>
    <w:rsid w:val="713A4D9B"/>
    <w:rsid w:val="71842467"/>
    <w:rsid w:val="71867FE1"/>
    <w:rsid w:val="71B67774"/>
    <w:rsid w:val="71E01DE7"/>
    <w:rsid w:val="723914F7"/>
    <w:rsid w:val="72446028"/>
    <w:rsid w:val="72584610"/>
    <w:rsid w:val="72640322"/>
    <w:rsid w:val="7295497F"/>
    <w:rsid w:val="73076EC0"/>
    <w:rsid w:val="730905A8"/>
    <w:rsid w:val="7399224D"/>
    <w:rsid w:val="73B14415"/>
    <w:rsid w:val="74181676"/>
    <w:rsid w:val="74210CA6"/>
    <w:rsid w:val="746E5488"/>
    <w:rsid w:val="74B17A6A"/>
    <w:rsid w:val="74C432FA"/>
    <w:rsid w:val="750F58D3"/>
    <w:rsid w:val="753F10F6"/>
    <w:rsid w:val="75422471"/>
    <w:rsid w:val="758006EA"/>
    <w:rsid w:val="7606301F"/>
    <w:rsid w:val="760B2F52"/>
    <w:rsid w:val="764A782F"/>
    <w:rsid w:val="76E71507"/>
    <w:rsid w:val="77101DD8"/>
    <w:rsid w:val="779A47E6"/>
    <w:rsid w:val="77E27A63"/>
    <w:rsid w:val="7819395D"/>
    <w:rsid w:val="788C25F5"/>
    <w:rsid w:val="791E4FA3"/>
    <w:rsid w:val="794C5FB4"/>
    <w:rsid w:val="79D858ED"/>
    <w:rsid w:val="79F72AA9"/>
    <w:rsid w:val="7B7A4F7D"/>
    <w:rsid w:val="7BF02C26"/>
    <w:rsid w:val="7C596A1E"/>
    <w:rsid w:val="7C923B05"/>
    <w:rsid w:val="7CCC5441"/>
    <w:rsid w:val="7D034BDB"/>
    <w:rsid w:val="7D2F59D0"/>
    <w:rsid w:val="7D3F20B7"/>
    <w:rsid w:val="7D690EE2"/>
    <w:rsid w:val="7DD37FAE"/>
    <w:rsid w:val="7DE22A43"/>
    <w:rsid w:val="7E064983"/>
    <w:rsid w:val="7EE121A6"/>
    <w:rsid w:val="7F3D0160"/>
    <w:rsid w:val="7F3E1EFB"/>
    <w:rsid w:val="7FA77AA0"/>
    <w:rsid w:val="DFADC93D"/>
    <w:rsid w:val="EFF771E5"/>
    <w:rsid w:val="FD7E5497"/>
    <w:rsid w:val="FFF39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4"/>
    <w:basedOn w:val="1"/>
    <w:next w:val="1"/>
    <w:autoRedefine/>
    <w:unhideWhenUsed/>
    <w:qFormat/>
    <w:uiPriority w:val="0"/>
    <w:pPr>
      <w:keepNext/>
      <w:keepLines/>
      <w:widowControl/>
      <w:spacing w:line="360" w:lineRule="auto"/>
      <w:ind w:firstLine="200" w:firstLineChars="200"/>
      <w:outlineLvl w:val="3"/>
    </w:pPr>
    <w:rPr>
      <w:rFonts w:ascii="Times New Roman" w:hAnsi="Times New Roman" w:eastAsia="宋体" w:cs="Times New Roman (标题 CS)"/>
      <w:b/>
      <w:bCs/>
      <w:sz w:val="24"/>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19"/>
    <w:autoRedefine/>
    <w:qFormat/>
    <w:uiPriority w:val="0"/>
    <w:rPr>
      <w:sz w:val="18"/>
      <w:szCs w:val="18"/>
    </w:rPr>
  </w:style>
  <w:style w:type="paragraph" w:styleId="7">
    <w:name w:val="footer"/>
    <w:basedOn w:val="1"/>
    <w:link w:val="16"/>
    <w:autoRedefine/>
    <w:qFormat/>
    <w:uiPriority w:val="0"/>
    <w:pPr>
      <w:tabs>
        <w:tab w:val="center" w:pos="4153"/>
        <w:tab w:val="right" w:pos="8306"/>
      </w:tabs>
      <w:snapToGrid w:val="0"/>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customStyle="1" w:styleId="14">
    <w:name w:val="Table Paragraph"/>
    <w:basedOn w:val="1"/>
    <w:autoRedefine/>
    <w:qFormat/>
    <w:uiPriority w:val="1"/>
  </w:style>
  <w:style w:type="character" w:customStyle="1" w:styleId="15">
    <w:name w:val="页眉 字符"/>
    <w:basedOn w:val="12"/>
    <w:link w:val="8"/>
    <w:autoRedefine/>
    <w:qFormat/>
    <w:uiPriority w:val="0"/>
    <w:rPr>
      <w:rFonts w:ascii="仿宋" w:hAnsi="仿宋" w:eastAsia="仿宋" w:cs="仿宋"/>
      <w:sz w:val="18"/>
      <w:szCs w:val="18"/>
      <w:lang w:val="zh-CN" w:bidi="zh-CN"/>
    </w:rPr>
  </w:style>
  <w:style w:type="character" w:customStyle="1" w:styleId="16">
    <w:name w:val="页脚 字符"/>
    <w:basedOn w:val="12"/>
    <w:link w:val="7"/>
    <w:autoRedefine/>
    <w:qFormat/>
    <w:uiPriority w:val="0"/>
    <w:rPr>
      <w:rFonts w:ascii="仿宋" w:hAnsi="仿宋" w:eastAsia="仿宋" w:cs="仿宋"/>
      <w:sz w:val="18"/>
      <w:szCs w:val="18"/>
      <w:lang w:val="zh-CN" w:bidi="zh-CN"/>
    </w:rPr>
  </w:style>
  <w:style w:type="character" w:customStyle="1" w:styleId="17">
    <w:name w:val="批注文字 字符"/>
    <w:basedOn w:val="12"/>
    <w:link w:val="4"/>
    <w:autoRedefine/>
    <w:qFormat/>
    <w:uiPriority w:val="0"/>
    <w:rPr>
      <w:rFonts w:ascii="仿宋" w:hAnsi="仿宋" w:eastAsia="仿宋" w:cs="仿宋"/>
      <w:sz w:val="22"/>
      <w:szCs w:val="22"/>
      <w:lang w:val="zh-CN" w:bidi="zh-CN"/>
    </w:rPr>
  </w:style>
  <w:style w:type="character" w:customStyle="1" w:styleId="18">
    <w:name w:val="批注主题 字符"/>
    <w:basedOn w:val="17"/>
    <w:link w:val="9"/>
    <w:autoRedefine/>
    <w:qFormat/>
    <w:uiPriority w:val="0"/>
    <w:rPr>
      <w:rFonts w:ascii="仿宋" w:hAnsi="仿宋" w:eastAsia="仿宋" w:cs="仿宋"/>
      <w:b/>
      <w:bCs/>
      <w:sz w:val="22"/>
      <w:szCs w:val="22"/>
      <w:lang w:val="zh-CN" w:bidi="zh-CN"/>
    </w:rPr>
  </w:style>
  <w:style w:type="character" w:customStyle="1" w:styleId="19">
    <w:name w:val="批注框文本 字符"/>
    <w:basedOn w:val="12"/>
    <w:link w:val="6"/>
    <w:autoRedefine/>
    <w:qFormat/>
    <w:uiPriority w:val="0"/>
    <w:rPr>
      <w:rFonts w:ascii="仿宋" w:hAnsi="仿宋" w:eastAsia="仿宋" w:cs="仿宋"/>
      <w:sz w:val="18"/>
      <w:szCs w:val="18"/>
      <w:lang w:val="zh-CN" w:bidi="zh-CN"/>
    </w:rPr>
  </w:style>
  <w:style w:type="paragraph" w:customStyle="1" w:styleId="20">
    <w:name w:val="修订1"/>
    <w:autoRedefine/>
    <w:hidden/>
    <w:semiHidden/>
    <w:qFormat/>
    <w:uiPriority w:val="99"/>
    <w:rPr>
      <w:rFonts w:ascii="仿宋" w:hAnsi="仿宋" w:eastAsia="仿宋" w:cs="仿宋"/>
      <w:sz w:val="22"/>
      <w:szCs w:val="22"/>
      <w:lang w:val="zh-CN" w:eastAsia="zh-CN" w:bidi="zh-CN"/>
    </w:rPr>
  </w:style>
  <w:style w:type="paragraph" w:customStyle="1" w:styleId="21">
    <w:name w:val="修订2"/>
    <w:autoRedefine/>
    <w:hidden/>
    <w:semiHidden/>
    <w:qFormat/>
    <w:uiPriority w:val="99"/>
    <w:rPr>
      <w:rFonts w:ascii="仿宋" w:hAnsi="仿宋" w:eastAsia="仿宋" w:cs="仿宋"/>
      <w:sz w:val="22"/>
      <w:szCs w:val="22"/>
      <w:lang w:val="zh-CN" w:eastAsia="zh-CN" w:bidi="zh-CN"/>
    </w:rPr>
  </w:style>
  <w:style w:type="paragraph" w:customStyle="1" w:styleId="22">
    <w:name w:val="修订3"/>
    <w:autoRedefine/>
    <w:hidden/>
    <w:semiHidden/>
    <w:qFormat/>
    <w:uiPriority w:val="99"/>
    <w:rPr>
      <w:rFonts w:ascii="仿宋" w:hAnsi="仿宋" w:eastAsia="仿宋" w:cs="仿宋"/>
      <w:sz w:val="22"/>
      <w:szCs w:val="22"/>
      <w:lang w:val="zh-CN" w:eastAsia="zh-CN" w:bidi="zh-CN"/>
    </w:rPr>
  </w:style>
  <w:style w:type="paragraph" w:customStyle="1" w:styleId="23">
    <w:name w:val="修订4"/>
    <w:autoRedefine/>
    <w:hidden/>
    <w:semiHidden/>
    <w:qFormat/>
    <w:uiPriority w:val="99"/>
    <w:rPr>
      <w:rFonts w:ascii="仿宋" w:hAnsi="仿宋" w:eastAsia="仿宋" w:cs="仿宋"/>
      <w:sz w:val="22"/>
      <w:szCs w:val="22"/>
      <w:lang w:val="zh-CN" w:eastAsia="zh-CN" w:bidi="zh-CN"/>
    </w:rPr>
  </w:style>
  <w:style w:type="paragraph" w:customStyle="1" w:styleId="24">
    <w:name w:val="修订5"/>
    <w:autoRedefine/>
    <w:hidden/>
    <w:semiHidden/>
    <w:qFormat/>
    <w:uiPriority w:val="99"/>
    <w:rPr>
      <w:rFonts w:ascii="仿宋" w:hAnsi="仿宋" w:eastAsia="仿宋" w:cs="仿宋"/>
      <w:sz w:val="22"/>
      <w:szCs w:val="22"/>
      <w:lang w:val="zh-CN" w:eastAsia="zh-CN" w:bidi="zh-CN"/>
    </w:rPr>
  </w:style>
  <w:style w:type="paragraph" w:customStyle="1" w:styleId="25">
    <w:name w:val="修订6"/>
    <w:autoRedefine/>
    <w:hidden/>
    <w:semiHidden/>
    <w:qFormat/>
    <w:uiPriority w:val="99"/>
    <w:rPr>
      <w:rFonts w:ascii="仿宋" w:hAnsi="仿宋" w:eastAsia="仿宋" w:cs="仿宋"/>
      <w:sz w:val="22"/>
      <w:szCs w:val="22"/>
      <w:lang w:val="zh-CN" w:eastAsia="zh-CN" w:bidi="zh-CN"/>
    </w:rPr>
  </w:style>
  <w:style w:type="paragraph" w:customStyle="1" w:styleId="26">
    <w:name w:val="修订7"/>
    <w:autoRedefine/>
    <w:hidden/>
    <w:semiHidden/>
    <w:qFormat/>
    <w:uiPriority w:val="99"/>
    <w:rPr>
      <w:rFonts w:ascii="仿宋" w:hAnsi="仿宋" w:eastAsia="仿宋" w:cs="仿宋"/>
      <w:sz w:val="22"/>
      <w:szCs w:val="22"/>
      <w:lang w:val="zh-CN" w:eastAsia="zh-CN" w:bidi="zh-CN"/>
    </w:rPr>
  </w:style>
  <w:style w:type="paragraph" w:customStyle="1" w:styleId="27">
    <w:name w:val="修订8"/>
    <w:autoRedefine/>
    <w:hidden/>
    <w:semiHidden/>
    <w:qFormat/>
    <w:uiPriority w:val="99"/>
    <w:rPr>
      <w:rFonts w:ascii="仿宋" w:hAnsi="仿宋" w:eastAsia="仿宋" w:cs="仿宋"/>
      <w:sz w:val="22"/>
      <w:szCs w:val="22"/>
      <w:lang w:val="zh-CN" w:eastAsia="zh-CN" w:bidi="zh-CN"/>
    </w:rPr>
  </w:style>
  <w:style w:type="paragraph" w:customStyle="1" w:styleId="28">
    <w:name w:val="修订9"/>
    <w:autoRedefine/>
    <w:hidden/>
    <w:semiHidden/>
    <w:qFormat/>
    <w:uiPriority w:val="99"/>
    <w:rPr>
      <w:rFonts w:ascii="仿宋" w:hAnsi="仿宋" w:eastAsia="仿宋" w:cs="仿宋"/>
      <w:sz w:val="22"/>
      <w:szCs w:val="22"/>
      <w:lang w:val="zh-CN" w:eastAsia="zh-CN" w:bidi="zh-CN"/>
    </w:rPr>
  </w:style>
  <w:style w:type="paragraph" w:customStyle="1" w:styleId="29">
    <w:name w:val="修订10"/>
    <w:autoRedefine/>
    <w:hidden/>
    <w:semiHidden/>
    <w:qFormat/>
    <w:uiPriority w:val="99"/>
    <w:rPr>
      <w:rFonts w:ascii="仿宋" w:hAnsi="仿宋" w:eastAsia="仿宋" w:cs="仿宋"/>
      <w:sz w:val="22"/>
      <w:szCs w:val="22"/>
      <w:lang w:val="zh-CN" w:eastAsia="zh-CN" w:bidi="zh-CN"/>
    </w:rPr>
  </w:style>
  <w:style w:type="paragraph" w:customStyle="1" w:styleId="30">
    <w:name w:val="修订11"/>
    <w:autoRedefine/>
    <w:hidden/>
    <w:semiHidden/>
    <w:qFormat/>
    <w:uiPriority w:val="99"/>
    <w:rPr>
      <w:rFonts w:ascii="仿宋" w:hAnsi="仿宋" w:eastAsia="仿宋" w:cs="仿宋"/>
      <w:sz w:val="22"/>
      <w:szCs w:val="22"/>
      <w:lang w:val="zh-CN" w:eastAsia="zh-CN" w:bidi="zh-CN"/>
    </w:rPr>
  </w:style>
  <w:style w:type="paragraph" w:customStyle="1" w:styleId="31">
    <w:name w:val="修订12"/>
    <w:autoRedefine/>
    <w:hidden/>
    <w:semiHidden/>
    <w:qFormat/>
    <w:uiPriority w:val="99"/>
    <w:rPr>
      <w:rFonts w:ascii="仿宋" w:hAnsi="仿宋" w:eastAsia="仿宋" w:cs="仿宋"/>
      <w:sz w:val="22"/>
      <w:szCs w:val="22"/>
      <w:lang w:val="zh-CN" w:eastAsia="zh-CN" w:bidi="zh-CN"/>
    </w:rPr>
  </w:style>
  <w:style w:type="paragraph" w:customStyle="1" w:styleId="32">
    <w:name w:val="修订13"/>
    <w:autoRedefine/>
    <w:hidden/>
    <w:semiHidden/>
    <w:qFormat/>
    <w:uiPriority w:val="99"/>
    <w:rPr>
      <w:rFonts w:ascii="仿宋" w:hAnsi="仿宋" w:eastAsia="仿宋" w:cs="仿宋"/>
      <w:sz w:val="22"/>
      <w:szCs w:val="22"/>
      <w:lang w:val="zh-CN" w:eastAsia="zh-CN" w:bidi="zh-CN"/>
    </w:rPr>
  </w:style>
  <w:style w:type="paragraph" w:customStyle="1" w:styleId="33">
    <w:name w:val="修订14"/>
    <w:autoRedefine/>
    <w:hidden/>
    <w:semiHidden/>
    <w:qFormat/>
    <w:uiPriority w:val="99"/>
    <w:rPr>
      <w:rFonts w:ascii="仿宋" w:hAnsi="仿宋" w:eastAsia="仿宋" w:cs="仿宋"/>
      <w:sz w:val="22"/>
      <w:szCs w:val="22"/>
      <w:lang w:val="zh-CN" w:eastAsia="zh-CN" w:bidi="zh-CN"/>
    </w:rPr>
  </w:style>
  <w:style w:type="paragraph" w:customStyle="1" w:styleId="34">
    <w:name w:val="修订15"/>
    <w:autoRedefine/>
    <w:hidden/>
    <w:semiHidden/>
    <w:qFormat/>
    <w:uiPriority w:val="99"/>
    <w:rPr>
      <w:rFonts w:ascii="仿宋" w:hAnsi="仿宋" w:eastAsia="仿宋" w:cs="仿宋"/>
      <w:sz w:val="22"/>
      <w:szCs w:val="22"/>
      <w:lang w:val="zh-CN" w:eastAsia="zh-CN" w:bidi="zh-CN"/>
    </w:rPr>
  </w:style>
  <w:style w:type="paragraph" w:customStyle="1" w:styleId="35">
    <w:name w:val="修订16"/>
    <w:autoRedefine/>
    <w:hidden/>
    <w:semiHidden/>
    <w:qFormat/>
    <w:uiPriority w:val="99"/>
    <w:rPr>
      <w:rFonts w:ascii="仿宋" w:hAnsi="仿宋" w:eastAsia="仿宋" w:cs="仿宋"/>
      <w:sz w:val="22"/>
      <w:szCs w:val="22"/>
      <w:lang w:val="zh-CN" w:eastAsia="zh-CN" w:bidi="zh-CN"/>
    </w:rPr>
  </w:style>
  <w:style w:type="paragraph" w:customStyle="1" w:styleId="36">
    <w:name w:val="修订17"/>
    <w:autoRedefine/>
    <w:hidden/>
    <w:semiHidden/>
    <w:qFormat/>
    <w:uiPriority w:val="99"/>
    <w:rPr>
      <w:rFonts w:ascii="仿宋" w:hAnsi="仿宋" w:eastAsia="仿宋" w:cs="仿宋"/>
      <w:sz w:val="22"/>
      <w:szCs w:val="22"/>
      <w:lang w:val="zh-CN" w:eastAsia="zh-CN" w:bidi="zh-CN"/>
    </w:rPr>
  </w:style>
  <w:style w:type="paragraph" w:customStyle="1" w:styleId="37">
    <w:name w:val="修订18"/>
    <w:autoRedefine/>
    <w:hidden/>
    <w:semiHidden/>
    <w:qFormat/>
    <w:uiPriority w:val="99"/>
    <w:rPr>
      <w:rFonts w:ascii="仿宋" w:hAnsi="仿宋" w:eastAsia="仿宋" w:cs="仿宋"/>
      <w:sz w:val="22"/>
      <w:szCs w:val="22"/>
      <w:lang w:val="zh-CN" w:eastAsia="zh-CN" w:bidi="zh-CN"/>
    </w:rPr>
  </w:style>
  <w:style w:type="paragraph" w:customStyle="1" w:styleId="38">
    <w:name w:val="修订19"/>
    <w:autoRedefine/>
    <w:hidden/>
    <w:semiHidden/>
    <w:qFormat/>
    <w:uiPriority w:val="99"/>
    <w:rPr>
      <w:rFonts w:ascii="仿宋" w:hAnsi="仿宋" w:eastAsia="仿宋" w:cs="仿宋"/>
      <w:sz w:val="22"/>
      <w:szCs w:val="22"/>
      <w:lang w:val="zh-CN" w:eastAsia="zh-CN" w:bidi="zh-CN"/>
    </w:rPr>
  </w:style>
  <w:style w:type="paragraph" w:customStyle="1" w:styleId="39">
    <w:name w:val="修订20"/>
    <w:autoRedefine/>
    <w:hidden/>
    <w:semiHidden/>
    <w:qFormat/>
    <w:uiPriority w:val="99"/>
    <w:rPr>
      <w:rFonts w:ascii="仿宋" w:hAnsi="仿宋" w:eastAsia="仿宋" w:cs="仿宋"/>
      <w:sz w:val="22"/>
      <w:szCs w:val="22"/>
      <w:lang w:val="zh-CN" w:eastAsia="zh-CN" w:bidi="zh-CN"/>
    </w:rPr>
  </w:style>
  <w:style w:type="paragraph" w:customStyle="1" w:styleId="40">
    <w:name w:val="修订21"/>
    <w:autoRedefine/>
    <w:hidden/>
    <w:semiHidden/>
    <w:qFormat/>
    <w:uiPriority w:val="99"/>
    <w:rPr>
      <w:rFonts w:ascii="仿宋" w:hAnsi="仿宋" w:eastAsia="仿宋" w:cs="仿宋"/>
      <w:sz w:val="22"/>
      <w:szCs w:val="22"/>
      <w:lang w:val="zh-CN" w:eastAsia="zh-CN" w:bidi="zh-CN"/>
    </w:rPr>
  </w:style>
  <w:style w:type="paragraph" w:customStyle="1" w:styleId="41">
    <w:name w:val="修订22"/>
    <w:autoRedefine/>
    <w:hidden/>
    <w:unhideWhenUsed/>
    <w:qFormat/>
    <w:uiPriority w:val="99"/>
    <w:rPr>
      <w:rFonts w:ascii="仿宋" w:hAnsi="仿宋" w:eastAsia="仿宋" w:cs="仿宋"/>
      <w:sz w:val="22"/>
      <w:szCs w:val="22"/>
      <w:lang w:val="zh-CN" w:eastAsia="zh-CN" w:bidi="zh-CN"/>
    </w:rPr>
  </w:style>
  <w:style w:type="paragraph" w:customStyle="1" w:styleId="42">
    <w:name w:val="修订23"/>
    <w:autoRedefine/>
    <w:hidden/>
    <w:unhideWhenUsed/>
    <w:qFormat/>
    <w:uiPriority w:val="99"/>
    <w:rPr>
      <w:rFonts w:ascii="仿宋" w:hAnsi="仿宋" w:eastAsia="仿宋" w:cs="仿宋"/>
      <w:sz w:val="22"/>
      <w:szCs w:val="22"/>
      <w:lang w:val="zh-CN" w:eastAsia="zh-CN" w:bidi="zh-CN"/>
    </w:rPr>
  </w:style>
  <w:style w:type="paragraph" w:customStyle="1" w:styleId="43">
    <w:name w:val="修订24"/>
    <w:autoRedefine/>
    <w:hidden/>
    <w:unhideWhenUsed/>
    <w:qFormat/>
    <w:uiPriority w:val="99"/>
    <w:rPr>
      <w:rFonts w:ascii="仿宋" w:hAnsi="仿宋" w:eastAsia="仿宋" w:cs="仿宋"/>
      <w:sz w:val="22"/>
      <w:szCs w:val="22"/>
      <w:lang w:val="zh-CN" w:eastAsia="zh-CN" w:bidi="zh-CN"/>
    </w:rPr>
  </w:style>
  <w:style w:type="paragraph" w:customStyle="1" w:styleId="44">
    <w:name w:val="大象正文"/>
    <w:basedOn w:val="5"/>
    <w:autoRedefine/>
    <w:qFormat/>
    <w:uiPriority w:val="0"/>
    <w:pPr>
      <w:widowControl/>
      <w:spacing w:before="30" w:beforeLines="30" w:after="30" w:afterLines="30" w:line="360" w:lineRule="auto"/>
      <w:ind w:firstLine="420" w:firstLineChars="200"/>
    </w:pPr>
    <w:rPr>
      <w:rFonts w:hint="eastAsia" w:ascii="Times New Roman" w:hAnsi="Times New Roman" w:eastAsia="宋体" w:cs="Arial"/>
      <w:sz w:val="24"/>
      <w:szCs w:val="21"/>
    </w:rPr>
  </w:style>
  <w:style w:type="paragraph" w:customStyle="1" w:styleId="45">
    <w:name w:val="修订25"/>
    <w:autoRedefine/>
    <w:hidden/>
    <w:unhideWhenUsed/>
    <w:qFormat/>
    <w:uiPriority w:val="99"/>
    <w:rPr>
      <w:rFonts w:ascii="仿宋" w:hAnsi="仿宋" w:eastAsia="仿宋" w:cs="仿宋"/>
      <w:sz w:val="22"/>
      <w:szCs w:val="22"/>
      <w:lang w:val="zh-CN" w:eastAsia="zh-CN" w:bidi="zh-CN"/>
    </w:rPr>
  </w:style>
  <w:style w:type="paragraph" w:customStyle="1" w:styleId="46">
    <w:name w:val="修订26"/>
    <w:autoRedefine/>
    <w:hidden/>
    <w:unhideWhenUsed/>
    <w:qFormat/>
    <w:uiPriority w:val="99"/>
    <w:rPr>
      <w:rFonts w:ascii="仿宋" w:hAnsi="仿宋" w:eastAsia="仿宋" w:cs="仿宋"/>
      <w:sz w:val="22"/>
      <w:szCs w:val="22"/>
      <w:lang w:val="zh-CN" w:eastAsia="zh-CN" w:bidi="zh-CN"/>
    </w:rPr>
  </w:style>
  <w:style w:type="paragraph" w:customStyle="1" w:styleId="47">
    <w:name w:val="修订27"/>
    <w:autoRedefine/>
    <w:hidden/>
    <w:unhideWhenUsed/>
    <w:qFormat/>
    <w:uiPriority w:val="99"/>
    <w:rPr>
      <w:rFonts w:ascii="仿宋" w:hAnsi="仿宋" w:eastAsia="仿宋" w:cs="仿宋"/>
      <w:sz w:val="22"/>
      <w:szCs w:val="22"/>
      <w:lang w:val="zh-CN" w:eastAsia="zh-CN" w:bidi="zh-CN"/>
    </w:rPr>
  </w:style>
  <w:style w:type="paragraph" w:customStyle="1" w:styleId="48">
    <w:name w:val="修订28"/>
    <w:autoRedefine/>
    <w:hidden/>
    <w:unhideWhenUsed/>
    <w:qFormat/>
    <w:uiPriority w:val="99"/>
    <w:rPr>
      <w:rFonts w:ascii="仿宋" w:hAnsi="仿宋" w:eastAsia="仿宋" w:cs="仿宋"/>
      <w:sz w:val="22"/>
      <w:szCs w:val="22"/>
      <w:lang w:val="zh-CN" w:eastAsia="zh-CN" w:bidi="zh-CN"/>
    </w:rPr>
  </w:style>
  <w:style w:type="paragraph" w:customStyle="1" w:styleId="49">
    <w:name w:val="修订29"/>
    <w:autoRedefine/>
    <w:hidden/>
    <w:unhideWhenUsed/>
    <w:qFormat/>
    <w:uiPriority w:val="99"/>
    <w:rPr>
      <w:rFonts w:ascii="仿宋" w:hAnsi="仿宋" w:eastAsia="仿宋" w:cs="仿宋"/>
      <w:sz w:val="22"/>
      <w:szCs w:val="22"/>
      <w:lang w:val="zh-CN" w:eastAsia="zh-CN" w:bidi="zh-CN"/>
    </w:rPr>
  </w:style>
  <w:style w:type="paragraph" w:customStyle="1" w:styleId="50">
    <w:name w:val="修订30"/>
    <w:autoRedefine/>
    <w:hidden/>
    <w:unhideWhenUsed/>
    <w:qFormat/>
    <w:uiPriority w:val="99"/>
    <w:rPr>
      <w:rFonts w:ascii="仿宋" w:hAnsi="仿宋" w:eastAsia="仿宋" w:cs="仿宋"/>
      <w:sz w:val="22"/>
      <w:szCs w:val="22"/>
      <w:lang w:val="zh-CN" w:eastAsia="zh-CN" w:bidi="zh-CN"/>
    </w:rPr>
  </w:style>
  <w:style w:type="paragraph" w:customStyle="1" w:styleId="51">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102169\Library\Containers\com.kingsoft.wpsoffice.mac\Data\C:\Users\SR102096\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9108E572-ED15-43CC-9A40-7E04648EF2D3}">
  <ds:schemaRefs/>
</ds:datastoreItem>
</file>

<file path=docProps/app.xml><?xml version="1.0" encoding="utf-8"?>
<Properties xmlns="http://schemas.openxmlformats.org/officeDocument/2006/extended-properties" xmlns:vt="http://schemas.openxmlformats.org/officeDocument/2006/docPropsVTypes">
  <Template>SSEReport</Template>
  <Pages>3</Pages>
  <Words>1976</Words>
  <Characters>2179</Characters>
  <Lines>14</Lines>
  <Paragraphs>4</Paragraphs>
  <TotalTime>28</TotalTime>
  <ScaleCrop>false</ScaleCrop>
  <LinksUpToDate>false</LinksUpToDate>
  <CharactersWithSpaces>2241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2022-06-04T04:33:00Z</dcterms:created>
  <dc:creator>jie.huang</dc:creator>
  <cp:lastModifiedBy>孙晓媛</cp:lastModifiedBy>
  <cp:lastPrinted>2024-05-24T16:57:00Z</cp:lastPrinted>
  <dcterms:modified xsi:type="dcterms:W3CDTF">2025-12-11T09:06:05Z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97D85897F92F472A92D9C6C683E27893_13</vt:lpwstr>
  </property>
</Properties>
</file>