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w:t>
      </w:r>
      <w:r>
        <w:rPr>
          <w:rFonts w:hint="eastAsia" w:ascii="Times New Roman" w:hAnsi="Times New Roman" w:cs="Times New Roman"/>
          <w:lang w:val="en-US" w:eastAsia="zh-CN"/>
        </w:rPr>
        <w:t>5</w:t>
      </w:r>
      <w:r>
        <w:rPr>
          <w:rFonts w:hint="eastAsia" w:ascii="Times New Roman" w:hAnsi="Times New Roman" w:cs="Times New Roman"/>
          <w:lang w:val="en-US"/>
        </w:rPr>
        <w:t>年</w:t>
      </w:r>
      <w:r>
        <w:rPr>
          <w:rFonts w:hint="eastAsia" w:ascii="Times New Roman" w:hAnsi="Times New Roman" w:cs="Times New Roman"/>
          <w:lang w:val="en-US" w:eastAsia="zh-CN"/>
        </w:rPr>
        <w:t>12</w:t>
      </w:r>
      <w:r>
        <w:rPr>
          <w:rFonts w:hint="eastAsia" w:ascii="Times New Roman" w:hAnsi="Times New Roman" w:cs="Times New Roman"/>
          <w:lang w:val="en-US"/>
        </w:rPr>
        <w:t>月</w:t>
      </w:r>
      <w:r>
        <w:rPr>
          <w:rFonts w:hint="eastAsia" w:ascii="Times New Roman" w:hAnsi="Times New Roman" w:cs="Times New Roman"/>
          <w:lang w:val="en-US" w:eastAsia="zh-CN"/>
        </w:rPr>
        <w:t>15</w:t>
      </w:r>
      <w:r>
        <w:rPr>
          <w:rFonts w:hint="eastAsia" w:ascii="Times New Roman" w:hAnsi="Times New Roman" w:cs="Times New Roman"/>
          <w:lang w:val="en-US"/>
        </w:rPr>
        <w:t>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506A2677">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泰康资产管理有限责任公司</w:t>
            </w:r>
          </w:p>
          <w:p w14:paraId="25798BBF">
            <w:pPr>
              <w:pStyle w:val="16"/>
              <w:spacing w:before="120" w:beforeLines="50" w:after="120" w:afterLines="50" w:line="360" w:lineRule="auto"/>
              <w:jc w:val="both"/>
              <w:rPr>
                <w:rFonts w:ascii="Times New Roman" w:hAnsi="Times New Roman" w:cs="Times New Roman"/>
                <w:kern w:val="2"/>
                <w:sz w:val="24"/>
                <w:lang w:val="en-US"/>
              </w:rPr>
            </w:pPr>
            <w:bookmarkStart w:id="0" w:name="_GoBack"/>
            <w:bookmarkEnd w:id="0"/>
            <w:r>
              <w:rPr>
                <w:rFonts w:hint="default" w:ascii="Times New Roman" w:hAnsi="Times New Roman" w:cs="Times New Roman"/>
                <w:kern w:val="2"/>
                <w:sz w:val="24"/>
                <w:highlight w:val="none"/>
                <w:lang w:val="en-US" w:eastAsia="zh-CN"/>
              </w:rPr>
              <w:t>华源证券股份有限公司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12</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15</w:t>
            </w:r>
            <w:r>
              <w:rPr>
                <w:rFonts w:hint="eastAsia" w:ascii="Times New Roman" w:hAnsi="Times New Roman" w:cs="Times New Roman" w:eastAsiaTheme="minorEastAsia"/>
                <w:kern w:val="2"/>
                <w:sz w:val="24"/>
                <w:lang w:val="en-US"/>
              </w:rPr>
              <w:t>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before="120" w:beforeLines="50" w:after="120" w:afterLines="50" w:line="360" w:lineRule="auto"/>
              <w:jc w:val="both"/>
              <w:rPr>
                <w:rFonts w:ascii="Times New Roman" w:hAnsi="Times New Roman" w:cs="Times New Roman"/>
                <w:kern w:val="2"/>
                <w:sz w:val="24"/>
                <w:lang w:val="en-US"/>
              </w:rPr>
            </w:pPr>
            <w:r>
              <w:rPr>
                <w:rFonts w:hint="default" w:ascii="Times New Roman" w:hAnsi="Times New Roman" w:cs="Times New Roman"/>
                <w:kern w:val="2"/>
                <w:sz w:val="24"/>
                <w:highlight w:val="none"/>
                <w:lang w:val="en-US" w:eastAsia="zh-CN"/>
              </w:rPr>
              <w:t>株洲市芦淞区创业二路68号</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639A2A50">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p w14:paraId="31D85CEA">
            <w:pPr>
              <w:pStyle w:val="16"/>
              <w:spacing w:before="120" w:beforeLines="50" w:line="360" w:lineRule="auto"/>
              <w:jc w:val="both"/>
              <w:rPr>
                <w:rFonts w:ascii="Times New Roman" w:hAnsi="Times New Roman" w:cs="Times New Roman"/>
                <w:kern w:val="2"/>
                <w:sz w:val="24"/>
                <w:lang w:val="en-US"/>
              </w:rPr>
            </w:pPr>
            <w:r>
              <w:rPr>
                <w:rFonts w:ascii="Times New Roman" w:hAnsi="Times New Roman" w:cs="Times New Roman"/>
                <w:kern w:val="2"/>
                <w:sz w:val="24"/>
                <w:lang w:val="en-US"/>
              </w:rPr>
              <w:t>证券事务代表姚天纵先生</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115B1881">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一、请介绍一下公司</w:t>
            </w:r>
            <w:r>
              <w:rPr>
                <w:rFonts w:hint="eastAsia" w:ascii="Times New Roman" w:hAnsi="Times New Roman" w:cs="Times New Roman"/>
                <w:b/>
                <w:bCs/>
                <w:kern w:val="2"/>
                <w:sz w:val="24"/>
                <w:szCs w:val="24"/>
                <w:lang w:val="en-US" w:eastAsia="zh-CN"/>
              </w:rPr>
              <w:t>2025年</w:t>
            </w:r>
            <w:r>
              <w:rPr>
                <w:rFonts w:ascii="Times New Roman" w:hAnsi="Times New Roman" w:cs="Times New Roman"/>
                <w:b/>
                <w:bCs/>
                <w:kern w:val="2"/>
                <w:sz w:val="24"/>
                <w:szCs w:val="24"/>
                <w:lang w:val="en-US"/>
              </w:rPr>
              <w:t>第三季度业绩情况？</w:t>
            </w:r>
          </w:p>
          <w:p w14:paraId="5B8FD6BD">
            <w:pPr>
              <w:spacing w:before="120" w:beforeLines="50" w:after="120" w:afterLines="50" w:line="360" w:lineRule="auto"/>
              <w:ind w:firstLine="480" w:firstLineChars="200"/>
              <w:jc w:val="both"/>
              <w:rPr>
                <w:rFonts w:ascii="Times New Roman" w:hAnsi="Times New Roman" w:cs="Times New Roman"/>
                <w:kern w:val="2"/>
                <w:sz w:val="24"/>
                <w:szCs w:val="24"/>
                <w:highlight w:val="none"/>
                <w:lang w:val="en-US"/>
              </w:rPr>
            </w:pPr>
            <w:r>
              <w:rPr>
                <w:rFonts w:ascii="Times New Roman" w:hAnsi="Times New Roman" w:cs="Times New Roman"/>
                <w:kern w:val="2"/>
                <w:sz w:val="24"/>
                <w:szCs w:val="24"/>
                <w:highlight w:val="none"/>
                <w:lang w:val="en-US"/>
              </w:rPr>
              <w:t>公司</w:t>
            </w:r>
            <w:r>
              <w:rPr>
                <w:rFonts w:hint="eastAsia" w:ascii="Times New Roman" w:hAnsi="Times New Roman" w:cs="Times New Roman"/>
                <w:kern w:val="2"/>
                <w:sz w:val="24"/>
                <w:szCs w:val="24"/>
                <w:highlight w:val="none"/>
                <w:lang w:val="en-US" w:eastAsia="zh-CN"/>
              </w:rPr>
              <w:t>2025年</w:t>
            </w:r>
            <w:r>
              <w:rPr>
                <w:rFonts w:ascii="Times New Roman" w:hAnsi="Times New Roman" w:cs="Times New Roman"/>
                <w:kern w:val="2"/>
                <w:sz w:val="24"/>
                <w:szCs w:val="24"/>
                <w:highlight w:val="none"/>
                <w:lang w:val="en-US"/>
              </w:rPr>
              <w:t>第三季度实现营业收入</w:t>
            </w:r>
            <w:r>
              <w:rPr>
                <w:rFonts w:hint="eastAsia" w:ascii="Times New Roman" w:hAnsi="Times New Roman" w:cs="Times New Roman"/>
                <w:kern w:val="2"/>
                <w:sz w:val="24"/>
                <w:szCs w:val="24"/>
                <w:highlight w:val="none"/>
                <w:lang w:val="en-US" w:eastAsia="zh-CN"/>
              </w:rPr>
              <w:t>2.52亿</w:t>
            </w:r>
            <w:r>
              <w:rPr>
                <w:rFonts w:ascii="Times New Roman" w:hAnsi="Times New Roman" w:cs="Times New Roman"/>
                <w:kern w:val="2"/>
                <w:sz w:val="24"/>
                <w:szCs w:val="24"/>
                <w:highlight w:val="none"/>
                <w:lang w:val="en-US"/>
              </w:rPr>
              <w:t>元，与去年同期相比</w:t>
            </w:r>
            <w:r>
              <w:rPr>
                <w:rFonts w:hint="eastAsia" w:ascii="Times New Roman" w:hAnsi="Times New Roman" w:cs="Times New Roman"/>
                <w:kern w:val="2"/>
                <w:sz w:val="24"/>
                <w:szCs w:val="24"/>
                <w:highlight w:val="none"/>
                <w:lang w:val="en-US" w:eastAsia="zh-CN"/>
              </w:rPr>
              <w:t>增长</w:t>
            </w:r>
            <w:r>
              <w:rPr>
                <w:rFonts w:hint="eastAsia" w:ascii="Times New Roman" w:hAnsi="Times New Roman" w:cs="Times New Roman"/>
                <w:kern w:val="2"/>
                <w:sz w:val="24"/>
                <w:szCs w:val="24"/>
                <w:highlight w:val="none"/>
                <w:lang w:val="en-US"/>
              </w:rPr>
              <w:t>44.49</w:t>
            </w:r>
            <w:r>
              <w:rPr>
                <w:rFonts w:ascii="Times New Roman" w:hAnsi="Times New Roman" w:cs="Times New Roman"/>
                <w:kern w:val="2"/>
                <w:sz w:val="24"/>
                <w:szCs w:val="24"/>
                <w:highlight w:val="none"/>
                <w:lang w:val="en-US"/>
              </w:rPr>
              <w:t>%；实现归属于母公司所有者的净利润</w:t>
            </w:r>
            <w:r>
              <w:rPr>
                <w:rFonts w:hint="eastAsia" w:ascii="Times New Roman" w:hAnsi="Times New Roman" w:cs="Times New Roman"/>
                <w:kern w:val="2"/>
                <w:sz w:val="24"/>
                <w:szCs w:val="24"/>
                <w:highlight w:val="none"/>
                <w:lang w:val="en-US"/>
              </w:rPr>
              <w:t>5,198</w:t>
            </w:r>
            <w:r>
              <w:rPr>
                <w:rFonts w:hint="eastAsia" w:ascii="Times New Roman" w:hAnsi="Times New Roman" w:cs="Times New Roman"/>
                <w:kern w:val="2"/>
                <w:sz w:val="24"/>
                <w:szCs w:val="24"/>
                <w:highlight w:val="none"/>
                <w:lang w:val="en-US" w:eastAsia="zh-CN"/>
              </w:rPr>
              <w:t>.</w:t>
            </w:r>
            <w:r>
              <w:rPr>
                <w:rFonts w:hint="eastAsia" w:ascii="Times New Roman" w:hAnsi="Times New Roman" w:cs="Times New Roman"/>
                <w:kern w:val="2"/>
                <w:sz w:val="24"/>
                <w:szCs w:val="24"/>
                <w:highlight w:val="none"/>
                <w:lang w:val="en-US"/>
              </w:rPr>
              <w:t>6</w:t>
            </w:r>
            <w:r>
              <w:rPr>
                <w:rFonts w:hint="eastAsia" w:ascii="Times New Roman" w:hAnsi="Times New Roman" w:cs="Times New Roman"/>
                <w:kern w:val="2"/>
                <w:sz w:val="24"/>
                <w:szCs w:val="24"/>
                <w:highlight w:val="none"/>
                <w:lang w:val="en-US" w:eastAsia="zh-CN"/>
              </w:rPr>
              <w:t>1</w:t>
            </w:r>
            <w:r>
              <w:rPr>
                <w:rFonts w:ascii="Times New Roman" w:hAnsi="Times New Roman" w:cs="Times New Roman"/>
                <w:kern w:val="2"/>
                <w:sz w:val="24"/>
                <w:szCs w:val="24"/>
                <w:highlight w:val="none"/>
                <w:lang w:val="en-US"/>
              </w:rPr>
              <w:t>万元，与去年同期相比</w:t>
            </w:r>
            <w:r>
              <w:rPr>
                <w:rFonts w:hint="eastAsia" w:ascii="Times New Roman" w:hAnsi="Times New Roman" w:cs="Times New Roman"/>
                <w:kern w:val="2"/>
                <w:sz w:val="24"/>
                <w:szCs w:val="24"/>
                <w:highlight w:val="none"/>
                <w:lang w:val="en-US" w:eastAsia="zh-CN"/>
              </w:rPr>
              <w:t>增长</w:t>
            </w:r>
            <w:r>
              <w:rPr>
                <w:rFonts w:hint="eastAsia" w:ascii="Times New Roman" w:hAnsi="Times New Roman" w:cs="Times New Roman"/>
                <w:kern w:val="2"/>
                <w:sz w:val="24"/>
                <w:szCs w:val="24"/>
                <w:highlight w:val="none"/>
                <w:lang w:val="en-US"/>
              </w:rPr>
              <w:t>915.62</w:t>
            </w:r>
            <w:r>
              <w:rPr>
                <w:rFonts w:ascii="Times New Roman" w:hAnsi="Times New Roman" w:cs="Times New Roman"/>
                <w:kern w:val="2"/>
                <w:sz w:val="24"/>
                <w:szCs w:val="24"/>
                <w:highlight w:val="none"/>
                <w:lang w:val="en-US"/>
              </w:rPr>
              <w:t>%；实现归属于母公司所有者的扣除非经常性损益的净利润</w:t>
            </w:r>
            <w:r>
              <w:rPr>
                <w:rFonts w:hint="eastAsia" w:ascii="Times New Roman" w:hAnsi="Times New Roman" w:cs="Times New Roman"/>
                <w:kern w:val="2"/>
                <w:sz w:val="24"/>
                <w:szCs w:val="24"/>
                <w:highlight w:val="none"/>
                <w:lang w:val="en-US"/>
              </w:rPr>
              <w:t>5,174</w:t>
            </w:r>
            <w:r>
              <w:rPr>
                <w:rFonts w:hint="eastAsia" w:ascii="Times New Roman" w:hAnsi="Times New Roman" w:cs="Times New Roman"/>
                <w:kern w:val="2"/>
                <w:sz w:val="24"/>
                <w:szCs w:val="24"/>
                <w:highlight w:val="none"/>
                <w:lang w:val="en-US" w:eastAsia="zh-CN"/>
              </w:rPr>
              <w:t>.</w:t>
            </w:r>
            <w:r>
              <w:rPr>
                <w:rFonts w:hint="eastAsia" w:ascii="Times New Roman" w:hAnsi="Times New Roman" w:cs="Times New Roman"/>
                <w:kern w:val="2"/>
                <w:sz w:val="24"/>
                <w:szCs w:val="24"/>
                <w:highlight w:val="none"/>
                <w:lang w:val="en-US"/>
              </w:rPr>
              <w:t>13</w:t>
            </w:r>
            <w:r>
              <w:rPr>
                <w:rFonts w:ascii="Times New Roman" w:hAnsi="Times New Roman" w:cs="Times New Roman"/>
                <w:kern w:val="2"/>
                <w:sz w:val="24"/>
                <w:szCs w:val="24"/>
                <w:highlight w:val="none"/>
                <w:lang w:val="en-US"/>
              </w:rPr>
              <w:t>万元，与去年同期相比</w:t>
            </w:r>
            <w:r>
              <w:rPr>
                <w:rFonts w:hint="eastAsia" w:ascii="Times New Roman" w:hAnsi="Times New Roman" w:cs="Times New Roman"/>
                <w:kern w:val="2"/>
                <w:sz w:val="24"/>
                <w:szCs w:val="24"/>
                <w:highlight w:val="none"/>
                <w:lang w:val="en-US" w:eastAsia="zh-CN"/>
              </w:rPr>
              <w:t>增长</w:t>
            </w:r>
            <w:r>
              <w:rPr>
                <w:rFonts w:hint="eastAsia" w:ascii="Times New Roman" w:hAnsi="Times New Roman" w:cs="Times New Roman"/>
                <w:kern w:val="2"/>
                <w:sz w:val="24"/>
                <w:szCs w:val="24"/>
                <w:highlight w:val="none"/>
                <w:lang w:val="en-US"/>
              </w:rPr>
              <w:t>1,040.88</w:t>
            </w:r>
            <w:r>
              <w:rPr>
                <w:rFonts w:ascii="Times New Roman" w:hAnsi="Times New Roman" w:cs="Times New Roman"/>
                <w:kern w:val="2"/>
                <w:sz w:val="24"/>
                <w:szCs w:val="24"/>
                <w:highlight w:val="none"/>
                <w:lang w:val="en-US"/>
              </w:rPr>
              <w:t>%。</w:t>
            </w:r>
          </w:p>
          <w:p w14:paraId="0134447B">
            <w:pPr>
              <w:spacing w:before="120" w:beforeLines="50" w:after="120" w:afterLines="50" w:line="360" w:lineRule="auto"/>
              <w:ind w:firstLine="480" w:firstLineChars="200"/>
              <w:jc w:val="both"/>
              <w:rPr>
                <w:rFonts w:ascii="Times New Roman" w:hAnsi="Times New Roman" w:cs="Times New Roman"/>
                <w:kern w:val="2"/>
                <w:sz w:val="24"/>
                <w:szCs w:val="24"/>
                <w:highlight w:val="none"/>
                <w:lang w:val="en-US"/>
              </w:rPr>
            </w:pPr>
            <w:r>
              <w:rPr>
                <w:rFonts w:ascii="Times New Roman" w:hAnsi="Times New Roman" w:cs="Times New Roman"/>
                <w:kern w:val="2"/>
                <w:sz w:val="24"/>
                <w:szCs w:val="24"/>
                <w:highlight w:val="none"/>
                <w:lang w:val="en-US"/>
              </w:rPr>
              <w:t>公司</w:t>
            </w:r>
            <w:r>
              <w:rPr>
                <w:rFonts w:hint="eastAsia" w:ascii="Times New Roman" w:hAnsi="Times New Roman" w:cs="Times New Roman"/>
                <w:kern w:val="2"/>
                <w:sz w:val="24"/>
                <w:szCs w:val="24"/>
                <w:highlight w:val="none"/>
                <w:lang w:val="en-US" w:eastAsia="zh-CN"/>
              </w:rPr>
              <w:t>2025年</w:t>
            </w:r>
            <w:r>
              <w:rPr>
                <w:rFonts w:ascii="Times New Roman" w:hAnsi="Times New Roman" w:cs="Times New Roman"/>
                <w:kern w:val="2"/>
                <w:sz w:val="24"/>
                <w:szCs w:val="24"/>
                <w:highlight w:val="none"/>
                <w:lang w:val="en-US"/>
              </w:rPr>
              <w:t>第三季度净利润</w:t>
            </w:r>
            <w:r>
              <w:rPr>
                <w:rFonts w:hint="eastAsia" w:ascii="Times New Roman" w:hAnsi="Times New Roman" w:cs="Times New Roman"/>
                <w:kern w:val="2"/>
                <w:sz w:val="24"/>
                <w:szCs w:val="24"/>
                <w:highlight w:val="none"/>
                <w:lang w:val="en-US" w:eastAsia="zh-CN"/>
              </w:rPr>
              <w:t>增长</w:t>
            </w:r>
            <w:r>
              <w:rPr>
                <w:rFonts w:ascii="Times New Roman" w:hAnsi="Times New Roman" w:cs="Times New Roman"/>
                <w:kern w:val="2"/>
                <w:sz w:val="24"/>
                <w:szCs w:val="24"/>
                <w:highlight w:val="none"/>
                <w:lang w:val="en-US"/>
              </w:rPr>
              <w:t>的主要原因系</w:t>
            </w:r>
            <w:r>
              <w:rPr>
                <w:rFonts w:hint="eastAsia" w:ascii="Times New Roman" w:hAnsi="Times New Roman" w:cs="Times New Roman"/>
                <w:kern w:val="2"/>
                <w:sz w:val="24"/>
                <w:szCs w:val="24"/>
                <w:highlight w:val="none"/>
                <w:lang w:val="en-US" w:eastAsia="zh-CN"/>
              </w:rPr>
              <w:t>：1、公司营业收入增长；2、股权激励计划结束，本期不再产生股权激励费用。</w:t>
            </w:r>
          </w:p>
          <w:p w14:paraId="64D70A82">
            <w:pPr>
              <w:spacing w:before="120" w:beforeLines="50" w:after="120" w:afterLines="50" w:line="360" w:lineRule="auto"/>
              <w:jc w:val="both"/>
              <w:rPr>
                <w:rFonts w:ascii="Times New Roman" w:hAnsi="Times New Roman" w:cs="Times New Roman"/>
                <w:kern w:val="2"/>
                <w:sz w:val="24"/>
                <w:szCs w:val="24"/>
                <w:lang w:val="en-US"/>
              </w:rPr>
            </w:pPr>
          </w:p>
          <w:p w14:paraId="0CB63902">
            <w:pPr>
              <w:numPr>
                <w:ilvl w:val="0"/>
                <w:numId w:val="1"/>
              </w:num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请介绍一下公司</w:t>
            </w:r>
            <w:r>
              <w:rPr>
                <w:rFonts w:hint="eastAsia" w:ascii="Times New Roman" w:hAnsi="Times New Roman" w:cs="Times New Roman"/>
                <w:b/>
                <w:bCs/>
                <w:kern w:val="2"/>
                <w:sz w:val="24"/>
                <w:szCs w:val="24"/>
                <w:lang w:val="en-US" w:eastAsia="zh-CN"/>
              </w:rPr>
              <w:t>2025年前</w:t>
            </w:r>
            <w:r>
              <w:rPr>
                <w:rFonts w:ascii="Times New Roman" w:hAnsi="Times New Roman" w:cs="Times New Roman"/>
                <w:b/>
                <w:bCs/>
                <w:kern w:val="2"/>
                <w:sz w:val="24"/>
                <w:szCs w:val="24"/>
                <w:lang w:val="en-US"/>
              </w:rPr>
              <w:t>三季度</w:t>
            </w:r>
            <w:r>
              <w:rPr>
                <w:rFonts w:hint="eastAsia" w:ascii="Times New Roman" w:hAnsi="Times New Roman" w:cs="Times New Roman"/>
                <w:b/>
                <w:bCs/>
                <w:kern w:val="2"/>
                <w:sz w:val="24"/>
                <w:szCs w:val="24"/>
                <w:lang w:val="en-US" w:eastAsia="zh-CN"/>
              </w:rPr>
              <w:t>营业收入变动的原因</w:t>
            </w:r>
            <w:r>
              <w:rPr>
                <w:rFonts w:ascii="Times New Roman" w:hAnsi="Times New Roman" w:cs="Times New Roman"/>
                <w:b/>
                <w:bCs/>
                <w:kern w:val="2"/>
                <w:sz w:val="24"/>
                <w:szCs w:val="24"/>
                <w:lang w:val="en-US"/>
              </w:rPr>
              <w:t>？</w:t>
            </w:r>
          </w:p>
          <w:p w14:paraId="4F735637">
            <w:pPr>
              <w:spacing w:before="120" w:beforeLines="50" w:after="120" w:afterLines="50" w:line="360" w:lineRule="auto"/>
              <w:ind w:firstLine="480" w:firstLineChars="200"/>
              <w:jc w:val="both"/>
              <w:rPr>
                <w:rFonts w:ascii="Times New Roman" w:hAnsi="Times New Roman" w:cs="Times New Roman"/>
                <w:kern w:val="2"/>
                <w:sz w:val="24"/>
                <w:szCs w:val="24"/>
                <w:highlight w:val="none"/>
                <w:lang w:val="en-US"/>
              </w:rPr>
            </w:pPr>
            <w:r>
              <w:rPr>
                <w:rFonts w:ascii="Times New Roman" w:hAnsi="Times New Roman" w:cs="Times New Roman"/>
                <w:kern w:val="2"/>
                <w:sz w:val="24"/>
                <w:szCs w:val="24"/>
                <w:highlight w:val="none"/>
                <w:lang w:val="en-US"/>
              </w:rPr>
              <w:t>公司</w:t>
            </w:r>
            <w:r>
              <w:rPr>
                <w:rFonts w:hint="eastAsia" w:ascii="Times New Roman" w:hAnsi="Times New Roman" w:cs="Times New Roman"/>
                <w:kern w:val="2"/>
                <w:sz w:val="24"/>
                <w:szCs w:val="24"/>
                <w:highlight w:val="none"/>
                <w:lang w:val="en-US" w:eastAsia="zh-CN"/>
              </w:rPr>
              <w:t>2025年前</w:t>
            </w:r>
            <w:r>
              <w:rPr>
                <w:rFonts w:ascii="Times New Roman" w:hAnsi="Times New Roman" w:cs="Times New Roman"/>
                <w:kern w:val="2"/>
                <w:sz w:val="24"/>
                <w:szCs w:val="24"/>
                <w:highlight w:val="none"/>
                <w:lang w:val="en-US"/>
              </w:rPr>
              <w:t>三季度</w:t>
            </w:r>
            <w:r>
              <w:rPr>
                <w:rFonts w:hint="eastAsia" w:ascii="Times New Roman" w:hAnsi="Times New Roman" w:cs="Times New Roman"/>
                <w:kern w:val="2"/>
                <w:sz w:val="24"/>
                <w:szCs w:val="24"/>
                <w:highlight w:val="none"/>
                <w:lang w:val="en-US" w:eastAsia="zh-CN"/>
              </w:rPr>
              <w:t>营业收入变动</w:t>
            </w:r>
            <w:r>
              <w:rPr>
                <w:rFonts w:ascii="Times New Roman" w:hAnsi="Times New Roman" w:cs="Times New Roman"/>
                <w:kern w:val="2"/>
                <w:sz w:val="24"/>
                <w:szCs w:val="24"/>
                <w:highlight w:val="none"/>
                <w:lang w:val="en-US"/>
              </w:rPr>
              <w:t>的主要原因系</w:t>
            </w:r>
            <w:r>
              <w:rPr>
                <w:rFonts w:hint="eastAsia" w:ascii="Times New Roman" w:hAnsi="Times New Roman" w:cs="Times New Roman"/>
                <w:kern w:val="2"/>
                <w:sz w:val="24"/>
                <w:szCs w:val="24"/>
                <w:highlight w:val="none"/>
                <w:lang w:val="en-US" w:eastAsia="zh-CN"/>
              </w:rPr>
              <w:t>：下游需求有所回暖，同时公司产品性能不断提升，品类日趋完善，渠道稳步开拓，产销量同比增长所致。</w:t>
            </w:r>
          </w:p>
          <w:p w14:paraId="7B726A34">
            <w:pPr>
              <w:spacing w:before="120" w:beforeLines="50" w:after="120" w:afterLines="50" w:line="360" w:lineRule="auto"/>
              <w:jc w:val="both"/>
              <w:rPr>
                <w:rFonts w:ascii="Times New Roman" w:hAnsi="Times New Roman" w:cs="Times New Roman"/>
                <w:kern w:val="2"/>
                <w:sz w:val="24"/>
                <w:szCs w:val="24"/>
                <w:lang w:val="en-US"/>
              </w:rPr>
            </w:pPr>
          </w:p>
          <w:p w14:paraId="2FFA0955">
            <w:pPr>
              <w:pStyle w:val="18"/>
              <w:keepNext w:val="0"/>
              <w:keepLines w:val="0"/>
              <w:numPr>
                <w:ilvl w:val="0"/>
                <w:numId w:val="0"/>
              </w:numPr>
              <w:suppressLineNumbers w:val="0"/>
              <w:spacing w:before="120" w:beforeAutospacing="0" w:after="120" w:afterLines="50" w:afterAutospacing="0"/>
              <w:ind w:left="0" w:leftChars="0" w:right="0" w:rightChars="0" w:firstLine="482" w:firstLineChars="200"/>
              <w:rPr>
                <w:rFonts w:hint="default" w:ascii="Times New Roman" w:hAnsi="Times New Roman" w:eastAsia="宋体" w:cs="Times New Roman"/>
                <w:b/>
                <w:bCs/>
                <w:sz w:val="24"/>
                <w:szCs w:val="24"/>
                <w:lang w:val="en-US" w:eastAsia="zh-CN" w:bidi="zh-CN"/>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三、请介绍一下公司2025年前三季度销售费用情况？</w:t>
            </w:r>
          </w:p>
          <w:p w14:paraId="0CCA490E">
            <w:pPr>
              <w:spacing w:before="120" w:beforeLines="50" w:after="120" w:afterLines="50" w:line="360" w:lineRule="auto"/>
              <w:ind w:firstLine="480" w:firstLineChars="200"/>
              <w:jc w:val="both"/>
              <w:rPr>
                <w:rFonts w:hint="eastAsia" w:ascii="Times New Roman" w:hAnsi="Times New Roman" w:cs="Times New Roman"/>
                <w:sz w:val="24"/>
                <w:szCs w:val="22"/>
                <w:lang w:val="en-US" w:eastAsia="zh-CN" w:bidi="zh-CN"/>
              </w:rPr>
            </w:pPr>
            <w:r>
              <w:rPr>
                <w:rFonts w:ascii="Times New Roman" w:hAnsi="Times New Roman" w:cs="Times New Roman"/>
                <w:kern w:val="2"/>
                <w:sz w:val="24"/>
                <w:szCs w:val="24"/>
                <w:lang w:val="en-US"/>
              </w:rPr>
              <w:t>公司</w:t>
            </w:r>
            <w:r>
              <w:rPr>
                <w:rFonts w:hint="eastAsia" w:ascii="Times New Roman" w:hAnsi="Times New Roman" w:cs="Times New Roman"/>
                <w:kern w:val="2"/>
                <w:sz w:val="24"/>
                <w:szCs w:val="24"/>
                <w:lang w:val="en-US" w:eastAsia="zh-CN"/>
              </w:rPr>
              <w:t>2025年</w:t>
            </w:r>
            <w:r>
              <w:rPr>
                <w:rFonts w:ascii="Times New Roman" w:hAnsi="Times New Roman" w:cs="Times New Roman"/>
                <w:kern w:val="2"/>
                <w:sz w:val="24"/>
                <w:szCs w:val="24"/>
                <w:lang w:val="en-US"/>
              </w:rPr>
              <w:t>前三季度</w:t>
            </w:r>
            <w:r>
              <w:rPr>
                <w:rFonts w:hint="eastAsia" w:ascii="Times New Roman" w:hAnsi="Times New Roman" w:cs="Times New Roman"/>
                <w:kern w:val="2"/>
                <w:sz w:val="24"/>
                <w:szCs w:val="24"/>
                <w:lang w:val="en-US" w:eastAsia="zh-CN"/>
              </w:rPr>
              <w:t>销售</w:t>
            </w:r>
            <w:r>
              <w:rPr>
                <w:rFonts w:ascii="Times New Roman" w:hAnsi="Times New Roman" w:cs="Times New Roman"/>
                <w:kern w:val="2"/>
                <w:sz w:val="24"/>
                <w:szCs w:val="24"/>
                <w:lang w:val="en-US"/>
              </w:rPr>
              <w:t>费用</w:t>
            </w:r>
            <w:r>
              <w:rPr>
                <w:rFonts w:ascii="Times New Roman" w:hAnsi="Times New Roman" w:cs="Times New Roman"/>
                <w:kern w:val="2"/>
                <w:sz w:val="24"/>
                <w:szCs w:val="24"/>
                <w:highlight w:val="none"/>
                <w:lang w:val="en-US"/>
              </w:rPr>
              <w:t>为</w:t>
            </w:r>
            <w:r>
              <w:rPr>
                <w:rFonts w:hint="eastAsia" w:ascii="Times New Roman" w:hAnsi="Times New Roman" w:cs="Times New Roman"/>
                <w:kern w:val="2"/>
                <w:sz w:val="24"/>
                <w:szCs w:val="24"/>
                <w:highlight w:val="none"/>
                <w:lang w:val="en-US" w:eastAsia="zh-CN"/>
              </w:rPr>
              <w:t>2,690.87万</w:t>
            </w:r>
            <w:r>
              <w:rPr>
                <w:rFonts w:ascii="Times New Roman" w:hAnsi="Times New Roman" w:cs="Times New Roman"/>
                <w:kern w:val="2"/>
                <w:sz w:val="24"/>
                <w:szCs w:val="24"/>
                <w:lang w:val="en-US"/>
              </w:rPr>
              <w:t>元，</w:t>
            </w:r>
            <w:r>
              <w:rPr>
                <w:rFonts w:hint="eastAsia" w:ascii="Times New Roman" w:hAnsi="Times New Roman" w:cs="Times New Roman"/>
                <w:kern w:val="2"/>
                <w:sz w:val="24"/>
                <w:szCs w:val="24"/>
                <w:lang w:val="en-US" w:eastAsia="zh-CN"/>
              </w:rPr>
              <w:t>销售</w:t>
            </w:r>
            <w:r>
              <w:rPr>
                <w:rFonts w:ascii="Times New Roman" w:hAnsi="Times New Roman" w:cs="Times New Roman"/>
                <w:kern w:val="2"/>
                <w:sz w:val="24"/>
                <w:szCs w:val="24"/>
                <w:lang w:val="en-US"/>
              </w:rPr>
              <w:t>费用占营业收入比例</w:t>
            </w:r>
            <w:r>
              <w:rPr>
                <w:rFonts w:ascii="Times New Roman" w:hAnsi="Times New Roman" w:cs="Times New Roman"/>
                <w:kern w:val="2"/>
                <w:sz w:val="24"/>
                <w:szCs w:val="24"/>
                <w:highlight w:val="none"/>
                <w:lang w:val="en-US"/>
              </w:rPr>
              <w:t>为</w:t>
            </w:r>
            <w:r>
              <w:rPr>
                <w:rFonts w:hint="eastAsia" w:ascii="Times New Roman" w:hAnsi="Times New Roman" w:cs="Times New Roman"/>
                <w:kern w:val="2"/>
                <w:sz w:val="24"/>
                <w:szCs w:val="24"/>
                <w:highlight w:val="none"/>
                <w:lang w:val="en-US" w:eastAsia="zh-CN"/>
              </w:rPr>
              <w:t>3.49</w:t>
            </w:r>
            <w:r>
              <w:rPr>
                <w:rFonts w:ascii="Times New Roman" w:hAnsi="Times New Roman" w:cs="Times New Roman"/>
                <w:kern w:val="2"/>
                <w:sz w:val="24"/>
                <w:szCs w:val="24"/>
                <w:lang w:val="en-US"/>
              </w:rPr>
              <w:t>%。</w:t>
            </w:r>
          </w:p>
          <w:p w14:paraId="2C5B8DAB">
            <w:pPr>
              <w:spacing w:before="120" w:beforeLines="50" w:after="120" w:afterLines="50" w:line="360" w:lineRule="auto"/>
              <w:jc w:val="both"/>
              <w:rPr>
                <w:rFonts w:ascii="Times New Roman" w:hAnsi="Times New Roman" w:cs="Times New Roman"/>
                <w:kern w:val="2"/>
                <w:sz w:val="24"/>
                <w:szCs w:val="24"/>
                <w:lang w:val="en-US"/>
              </w:rPr>
            </w:pPr>
          </w:p>
          <w:p w14:paraId="4154B22F">
            <w:pPr>
              <w:pStyle w:val="18"/>
              <w:keepNext w:val="0"/>
              <w:keepLines w:val="0"/>
              <w:numPr>
                <w:ilvl w:val="0"/>
                <w:numId w:val="0"/>
              </w:numPr>
              <w:suppressLineNumbers w:val="0"/>
              <w:spacing w:before="120" w:beforeAutospacing="0" w:after="120" w:afterLines="50" w:afterAutospacing="0"/>
              <w:ind w:left="0" w:leftChars="0" w:right="0" w:rightChars="0" w:firstLine="482" w:firstLineChars="200"/>
              <w:rPr>
                <w:rFonts w:hint="eastAsia"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四</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w:t>
            </w:r>
            <w:r>
              <w:rPr>
                <w:rFonts w:hint="eastAsia" w:cs="Times New Roman" w:eastAsiaTheme="minorEastAsia"/>
                <w:b/>
                <w:bCs/>
                <w:color w:val="000000" w:themeColor="text1"/>
                <w:kern w:val="2"/>
                <w:sz w:val="24"/>
                <w:szCs w:val="24"/>
                <w:lang w:val="en-US" w:eastAsia="zh-CN" w:bidi="ar-SA"/>
                <w14:textFill>
                  <w14:solidFill>
                    <w14:schemeClr w14:val="tx1"/>
                  </w14:solidFill>
                </w14:textFill>
              </w:rPr>
              <w:t>请介绍一下公司的渠道优势？</w:t>
            </w:r>
          </w:p>
          <w:p w14:paraId="41FD3FD0">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04B9D6C5">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60185CE1">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五、</w:t>
            </w:r>
            <w:r>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公司未来发展趋势如何？</w:t>
            </w:r>
          </w:p>
          <w:p w14:paraId="39AE7E87">
            <w:pPr>
              <w:pStyle w:val="18"/>
              <w:spacing w:before="120" w:after="120" w:afterLines="50"/>
              <w:ind w:firstLine="482"/>
              <w:rPr>
                <w:rFonts w:hint="eastAsia"/>
                <w:b/>
                <w:bCs/>
                <w:szCs w:val="24"/>
                <w:lang w:val="en-US"/>
              </w:rPr>
            </w:pPr>
            <w:r>
              <w:rPr>
                <w:rFonts w:hint="default" w:ascii="Times New Roman" w:hAnsi="Times New Roman" w:cs="Times New Roman"/>
                <w:sz w:val="24"/>
                <w:szCs w:val="32"/>
              </w:rPr>
              <w:t>公司一贯秉承“自主研发、持续创新”的企业发展战略，专注于硬质合金数控刀具的研发、生产和销售</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未来公司将进一步夯实并发挥公司在技术创新、产品开发方面的优势，加大研发投入和人才队伍建设，以技术推动市场为导向，不断升级迭代产品并开发新产品。在巩固硬质合金数控刀</w:t>
            </w:r>
            <w:r>
              <w:rPr>
                <w:rFonts w:hint="eastAsia" w:ascii="Times New Roman" w:hAnsi="Times New Roman" w:cs="Times New Roman"/>
                <w:sz w:val="24"/>
                <w:szCs w:val="32"/>
                <w:lang w:val="en-US" w:eastAsia="zh-CN"/>
              </w:rPr>
              <w:t>具</w:t>
            </w:r>
            <w:r>
              <w:rPr>
                <w:rFonts w:hint="default" w:ascii="Times New Roman" w:hAnsi="Times New Roman" w:cs="Times New Roman"/>
                <w:sz w:val="24"/>
                <w:szCs w:val="32"/>
                <w:lang w:val="en-US" w:eastAsia="zh-CN"/>
              </w:rPr>
              <w:t>市场优势地位的基础上，优先开展基础材料技术的研究，进军金属陶瓷、陶瓷、超硬材料等新材料领域、同时，通过新品项目的开发，向工具系统、精密复杂组合刀具领域拓展，进一步丰富公司的产品线，将公司从硬质合金切削刀具制造商打造成为国内领先的整体切削解决方案供应商。</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12</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15</w:t>
            </w:r>
            <w:r>
              <w:rPr>
                <w:rFonts w:hint="eastAsia" w:ascii="Times New Roman" w:hAnsi="Times New Roman" w:cs="Times New Roman" w:eastAsiaTheme="minorEastAsia"/>
                <w:kern w:val="2"/>
                <w:sz w:val="24"/>
                <w:lang w:val="en-US"/>
              </w:rPr>
              <w:t>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1A0C"/>
    <w:multiLevelType w:val="singleLevel"/>
    <w:tmpl w:val="EF511A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7EC4BEA"/>
    <w:rsid w:val="08191757"/>
    <w:rsid w:val="082F4AD6"/>
    <w:rsid w:val="08577669"/>
    <w:rsid w:val="0869623A"/>
    <w:rsid w:val="086C1F40"/>
    <w:rsid w:val="087B79DB"/>
    <w:rsid w:val="087E15BA"/>
    <w:rsid w:val="088405DA"/>
    <w:rsid w:val="08856DEC"/>
    <w:rsid w:val="089F5E5A"/>
    <w:rsid w:val="08B60493"/>
    <w:rsid w:val="08BE783D"/>
    <w:rsid w:val="08E13F7A"/>
    <w:rsid w:val="08E2059F"/>
    <w:rsid w:val="08EB30F3"/>
    <w:rsid w:val="08FB151E"/>
    <w:rsid w:val="092B7994"/>
    <w:rsid w:val="0946032A"/>
    <w:rsid w:val="09482972"/>
    <w:rsid w:val="099F7A3A"/>
    <w:rsid w:val="09B16EAB"/>
    <w:rsid w:val="09B90AFC"/>
    <w:rsid w:val="09CB032D"/>
    <w:rsid w:val="09E42E0C"/>
    <w:rsid w:val="0A0579FD"/>
    <w:rsid w:val="0A100800"/>
    <w:rsid w:val="0A121772"/>
    <w:rsid w:val="0A434869"/>
    <w:rsid w:val="0A5170B9"/>
    <w:rsid w:val="0A590FB7"/>
    <w:rsid w:val="0A5C2888"/>
    <w:rsid w:val="0A5E16A3"/>
    <w:rsid w:val="0A6068BB"/>
    <w:rsid w:val="0A717628"/>
    <w:rsid w:val="0A79472F"/>
    <w:rsid w:val="0A807DAE"/>
    <w:rsid w:val="0A9926DB"/>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E54E13"/>
    <w:rsid w:val="0CF37015"/>
    <w:rsid w:val="0CF87AE3"/>
    <w:rsid w:val="0D1706A5"/>
    <w:rsid w:val="0D1A5D55"/>
    <w:rsid w:val="0D444E00"/>
    <w:rsid w:val="0D4922F4"/>
    <w:rsid w:val="0D6A518B"/>
    <w:rsid w:val="0D6D4DC9"/>
    <w:rsid w:val="0D6E6D16"/>
    <w:rsid w:val="0D7C41FE"/>
    <w:rsid w:val="0D831E80"/>
    <w:rsid w:val="0D882DBC"/>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4C41C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D31BE1"/>
    <w:rsid w:val="131B42F0"/>
    <w:rsid w:val="131F061B"/>
    <w:rsid w:val="133241DB"/>
    <w:rsid w:val="13385187"/>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92A0B"/>
    <w:rsid w:val="17FD3F0D"/>
    <w:rsid w:val="1815791A"/>
    <w:rsid w:val="1828118F"/>
    <w:rsid w:val="183F7282"/>
    <w:rsid w:val="186B56B7"/>
    <w:rsid w:val="18AD2173"/>
    <w:rsid w:val="18AD3F21"/>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1D4C62"/>
    <w:rsid w:val="1B216501"/>
    <w:rsid w:val="1B2D78E5"/>
    <w:rsid w:val="1B2D7E89"/>
    <w:rsid w:val="1B342F18"/>
    <w:rsid w:val="1B3A5814"/>
    <w:rsid w:val="1B4712E5"/>
    <w:rsid w:val="1B7F1479"/>
    <w:rsid w:val="1B950C9D"/>
    <w:rsid w:val="1B99078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84BD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97DE0"/>
    <w:rsid w:val="23AE4FF1"/>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4FE5B05"/>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F67D1"/>
    <w:rsid w:val="26844491"/>
    <w:rsid w:val="26882E12"/>
    <w:rsid w:val="268C7923"/>
    <w:rsid w:val="268E5905"/>
    <w:rsid w:val="26C16BA3"/>
    <w:rsid w:val="26D86659"/>
    <w:rsid w:val="26EA5DA5"/>
    <w:rsid w:val="26FC48F3"/>
    <w:rsid w:val="27133AE9"/>
    <w:rsid w:val="27237CA5"/>
    <w:rsid w:val="2730616D"/>
    <w:rsid w:val="27335F39"/>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21C6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1F083A"/>
    <w:rsid w:val="2C3B0F37"/>
    <w:rsid w:val="2C5C03A2"/>
    <w:rsid w:val="2C7326B8"/>
    <w:rsid w:val="2C7A3CC3"/>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5A7DDB"/>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3E5C07"/>
    <w:rsid w:val="3148438F"/>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C094E"/>
    <w:rsid w:val="32AF043E"/>
    <w:rsid w:val="32B1065A"/>
    <w:rsid w:val="32B37F2E"/>
    <w:rsid w:val="32B53CA7"/>
    <w:rsid w:val="32B8524F"/>
    <w:rsid w:val="32BA306B"/>
    <w:rsid w:val="32BD1987"/>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4A6DFC"/>
    <w:rsid w:val="364C01C6"/>
    <w:rsid w:val="365E28A7"/>
    <w:rsid w:val="36633A19"/>
    <w:rsid w:val="367117EC"/>
    <w:rsid w:val="369B31B3"/>
    <w:rsid w:val="369E4B69"/>
    <w:rsid w:val="36A2315E"/>
    <w:rsid w:val="36A36EDD"/>
    <w:rsid w:val="36AD0447"/>
    <w:rsid w:val="36BF1827"/>
    <w:rsid w:val="36D51DE9"/>
    <w:rsid w:val="36D960C6"/>
    <w:rsid w:val="36DC7DD0"/>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E42938"/>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9C796E"/>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9545FC"/>
    <w:rsid w:val="3E970ED5"/>
    <w:rsid w:val="3EAF0525"/>
    <w:rsid w:val="3EBB38BF"/>
    <w:rsid w:val="3ED5769D"/>
    <w:rsid w:val="3ED95395"/>
    <w:rsid w:val="3EEC74DA"/>
    <w:rsid w:val="3EED2A1A"/>
    <w:rsid w:val="3F0942F2"/>
    <w:rsid w:val="3F2006FA"/>
    <w:rsid w:val="3F2B4BC7"/>
    <w:rsid w:val="3F3643C1"/>
    <w:rsid w:val="3F392BA0"/>
    <w:rsid w:val="3F455BEE"/>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3FFC1AB1"/>
    <w:rsid w:val="400E2C48"/>
    <w:rsid w:val="40153FD6"/>
    <w:rsid w:val="402C30CE"/>
    <w:rsid w:val="403F51D0"/>
    <w:rsid w:val="4075369B"/>
    <w:rsid w:val="40753A2D"/>
    <w:rsid w:val="40817F9B"/>
    <w:rsid w:val="408728ED"/>
    <w:rsid w:val="408818FE"/>
    <w:rsid w:val="409C0254"/>
    <w:rsid w:val="40B217A5"/>
    <w:rsid w:val="40CC6F2A"/>
    <w:rsid w:val="40D03077"/>
    <w:rsid w:val="40DA71F4"/>
    <w:rsid w:val="40ED0BFB"/>
    <w:rsid w:val="40EF2A79"/>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F62AF8"/>
    <w:rsid w:val="42FE6FA4"/>
    <w:rsid w:val="43002220"/>
    <w:rsid w:val="430758D5"/>
    <w:rsid w:val="430B7913"/>
    <w:rsid w:val="43217136"/>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B201A"/>
    <w:rsid w:val="442E5667"/>
    <w:rsid w:val="444B3339"/>
    <w:rsid w:val="445B18AB"/>
    <w:rsid w:val="44676DCB"/>
    <w:rsid w:val="4473751E"/>
    <w:rsid w:val="44827761"/>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5C4456"/>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803DC0"/>
    <w:rsid w:val="479A3013"/>
    <w:rsid w:val="479A532E"/>
    <w:rsid w:val="47C85DD2"/>
    <w:rsid w:val="47D05559"/>
    <w:rsid w:val="47E439A4"/>
    <w:rsid w:val="47F31E9E"/>
    <w:rsid w:val="47FD6766"/>
    <w:rsid w:val="48076D81"/>
    <w:rsid w:val="48094372"/>
    <w:rsid w:val="48166B3E"/>
    <w:rsid w:val="48237A49"/>
    <w:rsid w:val="48313978"/>
    <w:rsid w:val="483A4518"/>
    <w:rsid w:val="484A2753"/>
    <w:rsid w:val="48587156"/>
    <w:rsid w:val="485D651B"/>
    <w:rsid w:val="48621D83"/>
    <w:rsid w:val="48872B1F"/>
    <w:rsid w:val="489901E7"/>
    <w:rsid w:val="48C0065E"/>
    <w:rsid w:val="48D90393"/>
    <w:rsid w:val="48EA3B26"/>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F5271"/>
    <w:rsid w:val="4C001FDF"/>
    <w:rsid w:val="4C06511B"/>
    <w:rsid w:val="4C0D46FC"/>
    <w:rsid w:val="4C12444C"/>
    <w:rsid w:val="4C172AE9"/>
    <w:rsid w:val="4C285091"/>
    <w:rsid w:val="4C2C4B82"/>
    <w:rsid w:val="4C2D715A"/>
    <w:rsid w:val="4C4E0701"/>
    <w:rsid w:val="4C5C757C"/>
    <w:rsid w:val="4C6C1571"/>
    <w:rsid w:val="4C96024D"/>
    <w:rsid w:val="4CA37CC7"/>
    <w:rsid w:val="4CA679BA"/>
    <w:rsid w:val="4CAA3CF8"/>
    <w:rsid w:val="4CB665C8"/>
    <w:rsid w:val="4CB87A12"/>
    <w:rsid w:val="4CCF375F"/>
    <w:rsid w:val="4CFE63D3"/>
    <w:rsid w:val="4D000BB2"/>
    <w:rsid w:val="4D0A29E9"/>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07878"/>
    <w:rsid w:val="4FBB7954"/>
    <w:rsid w:val="4FBD1F95"/>
    <w:rsid w:val="501020BD"/>
    <w:rsid w:val="502E67D4"/>
    <w:rsid w:val="503009B9"/>
    <w:rsid w:val="5049110A"/>
    <w:rsid w:val="505471A8"/>
    <w:rsid w:val="50566671"/>
    <w:rsid w:val="50574928"/>
    <w:rsid w:val="5060304C"/>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26781"/>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4476C8"/>
    <w:rsid w:val="5449029B"/>
    <w:rsid w:val="544E2532"/>
    <w:rsid w:val="54505185"/>
    <w:rsid w:val="54640C31"/>
    <w:rsid w:val="54680AF3"/>
    <w:rsid w:val="54786129"/>
    <w:rsid w:val="54905D84"/>
    <w:rsid w:val="54A63265"/>
    <w:rsid w:val="54B430BC"/>
    <w:rsid w:val="54BB2F47"/>
    <w:rsid w:val="54C120D0"/>
    <w:rsid w:val="54D1518C"/>
    <w:rsid w:val="54DE09E3"/>
    <w:rsid w:val="54EA440D"/>
    <w:rsid w:val="54EC75A4"/>
    <w:rsid w:val="54FB1595"/>
    <w:rsid w:val="54FC3CDE"/>
    <w:rsid w:val="551E7032"/>
    <w:rsid w:val="556C76ED"/>
    <w:rsid w:val="55740D24"/>
    <w:rsid w:val="557A0AE7"/>
    <w:rsid w:val="558C729E"/>
    <w:rsid w:val="558E2409"/>
    <w:rsid w:val="559B14C5"/>
    <w:rsid w:val="55B72675"/>
    <w:rsid w:val="55CB6322"/>
    <w:rsid w:val="55E97640"/>
    <w:rsid w:val="55F42962"/>
    <w:rsid w:val="55F936B0"/>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3E1C0D"/>
    <w:rsid w:val="57400F9F"/>
    <w:rsid w:val="5776344A"/>
    <w:rsid w:val="57A92D8C"/>
    <w:rsid w:val="57C15103"/>
    <w:rsid w:val="57C57C38"/>
    <w:rsid w:val="57CF1AC2"/>
    <w:rsid w:val="57D305A7"/>
    <w:rsid w:val="57D850B1"/>
    <w:rsid w:val="57D91936"/>
    <w:rsid w:val="57DB745C"/>
    <w:rsid w:val="57DB7C26"/>
    <w:rsid w:val="57FF0937"/>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91B0458"/>
    <w:rsid w:val="594828CF"/>
    <w:rsid w:val="59617E35"/>
    <w:rsid w:val="59653481"/>
    <w:rsid w:val="59740953"/>
    <w:rsid w:val="59747B68"/>
    <w:rsid w:val="598952C5"/>
    <w:rsid w:val="59910FE5"/>
    <w:rsid w:val="59926240"/>
    <w:rsid w:val="59C1607D"/>
    <w:rsid w:val="59D108D5"/>
    <w:rsid w:val="59D32AE1"/>
    <w:rsid w:val="5A003084"/>
    <w:rsid w:val="5A1D3D5C"/>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6D2AC1"/>
    <w:rsid w:val="5B70610D"/>
    <w:rsid w:val="5B7B5CBA"/>
    <w:rsid w:val="5B9E0A3B"/>
    <w:rsid w:val="5BA673C2"/>
    <w:rsid w:val="5BAB5397"/>
    <w:rsid w:val="5BAD6B57"/>
    <w:rsid w:val="5BAF30D9"/>
    <w:rsid w:val="5BB701E0"/>
    <w:rsid w:val="5BCC6458"/>
    <w:rsid w:val="5BD858DE"/>
    <w:rsid w:val="5BED775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15514"/>
    <w:rsid w:val="5CE60D7D"/>
    <w:rsid w:val="5CEA796E"/>
    <w:rsid w:val="5CEC0894"/>
    <w:rsid w:val="5CF85D94"/>
    <w:rsid w:val="5D0B2591"/>
    <w:rsid w:val="5D4D2BAA"/>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52175"/>
    <w:rsid w:val="5E6C7E5E"/>
    <w:rsid w:val="5E771043"/>
    <w:rsid w:val="5E7F70C9"/>
    <w:rsid w:val="5E8A39DA"/>
    <w:rsid w:val="5E9B16F3"/>
    <w:rsid w:val="5EA07923"/>
    <w:rsid w:val="5EBD5B0D"/>
    <w:rsid w:val="5EC073AC"/>
    <w:rsid w:val="5EE03675"/>
    <w:rsid w:val="5EE96BDE"/>
    <w:rsid w:val="5EF26507"/>
    <w:rsid w:val="5EF45ED8"/>
    <w:rsid w:val="5F015CCB"/>
    <w:rsid w:val="5F021772"/>
    <w:rsid w:val="5F0553C0"/>
    <w:rsid w:val="5F0F575A"/>
    <w:rsid w:val="5F1B5472"/>
    <w:rsid w:val="5F203116"/>
    <w:rsid w:val="5F2256F8"/>
    <w:rsid w:val="5F2A5B0D"/>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4F0DD1"/>
    <w:rsid w:val="60593614"/>
    <w:rsid w:val="60597AB8"/>
    <w:rsid w:val="606B36FC"/>
    <w:rsid w:val="607C45A1"/>
    <w:rsid w:val="60A85038"/>
    <w:rsid w:val="60A952CA"/>
    <w:rsid w:val="60B13399"/>
    <w:rsid w:val="60B928FD"/>
    <w:rsid w:val="60C3607A"/>
    <w:rsid w:val="60C45DAE"/>
    <w:rsid w:val="60E41825"/>
    <w:rsid w:val="60F57E72"/>
    <w:rsid w:val="610871DB"/>
    <w:rsid w:val="610C68D8"/>
    <w:rsid w:val="611763B9"/>
    <w:rsid w:val="61227E86"/>
    <w:rsid w:val="61254ACC"/>
    <w:rsid w:val="61321539"/>
    <w:rsid w:val="614B11AE"/>
    <w:rsid w:val="615E2F29"/>
    <w:rsid w:val="616F4043"/>
    <w:rsid w:val="61860438"/>
    <w:rsid w:val="61870FB3"/>
    <w:rsid w:val="618A26B5"/>
    <w:rsid w:val="619C0E29"/>
    <w:rsid w:val="61BC737B"/>
    <w:rsid w:val="61D778B0"/>
    <w:rsid w:val="61E41603"/>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0428F"/>
    <w:rsid w:val="63FD0FFA"/>
    <w:rsid w:val="640B731B"/>
    <w:rsid w:val="64132E70"/>
    <w:rsid w:val="642161BD"/>
    <w:rsid w:val="642B52C7"/>
    <w:rsid w:val="643423F9"/>
    <w:rsid w:val="64342D5D"/>
    <w:rsid w:val="644C4AC7"/>
    <w:rsid w:val="64577F0A"/>
    <w:rsid w:val="64622E30"/>
    <w:rsid w:val="646302F1"/>
    <w:rsid w:val="64634A61"/>
    <w:rsid w:val="646533CF"/>
    <w:rsid w:val="64656A2B"/>
    <w:rsid w:val="648844C8"/>
    <w:rsid w:val="64942E6C"/>
    <w:rsid w:val="649B5200"/>
    <w:rsid w:val="64B21544"/>
    <w:rsid w:val="64B95B03"/>
    <w:rsid w:val="64C74ED6"/>
    <w:rsid w:val="64D40A42"/>
    <w:rsid w:val="64DB4A40"/>
    <w:rsid w:val="64EE6A20"/>
    <w:rsid w:val="64FF0C2E"/>
    <w:rsid w:val="650171A3"/>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05FCC"/>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9E2C97"/>
    <w:rsid w:val="6AC92834"/>
    <w:rsid w:val="6AC9597A"/>
    <w:rsid w:val="6AD05CE9"/>
    <w:rsid w:val="6AD80229"/>
    <w:rsid w:val="6AFF69E5"/>
    <w:rsid w:val="6B0E2E23"/>
    <w:rsid w:val="6B152EA5"/>
    <w:rsid w:val="6B20533E"/>
    <w:rsid w:val="6B43739A"/>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95923"/>
    <w:rsid w:val="6CAB257A"/>
    <w:rsid w:val="6CB23210"/>
    <w:rsid w:val="6CC11D87"/>
    <w:rsid w:val="6CC65261"/>
    <w:rsid w:val="6CD00EFE"/>
    <w:rsid w:val="6CD3474E"/>
    <w:rsid w:val="6CDE737B"/>
    <w:rsid w:val="6CE9181A"/>
    <w:rsid w:val="6D0306F7"/>
    <w:rsid w:val="6D03108D"/>
    <w:rsid w:val="6D246FB3"/>
    <w:rsid w:val="6D372F2F"/>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535B46"/>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742218"/>
    <w:rsid w:val="6F8A37EA"/>
    <w:rsid w:val="6F8B4E7A"/>
    <w:rsid w:val="6F8F7052"/>
    <w:rsid w:val="6F912DCA"/>
    <w:rsid w:val="6F9B098D"/>
    <w:rsid w:val="6FAB14F6"/>
    <w:rsid w:val="6FF26985"/>
    <w:rsid w:val="6FF43782"/>
    <w:rsid w:val="70082F3E"/>
    <w:rsid w:val="700B153E"/>
    <w:rsid w:val="700E4CD4"/>
    <w:rsid w:val="70136A8B"/>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934EEE"/>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04597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81799D"/>
    <w:rsid w:val="789256B0"/>
    <w:rsid w:val="78A62E25"/>
    <w:rsid w:val="78A70F68"/>
    <w:rsid w:val="78AC657F"/>
    <w:rsid w:val="78C23247"/>
    <w:rsid w:val="78D85D66"/>
    <w:rsid w:val="78D930EC"/>
    <w:rsid w:val="78DA7590"/>
    <w:rsid w:val="78E62CEF"/>
    <w:rsid w:val="78F10436"/>
    <w:rsid w:val="78F63C9E"/>
    <w:rsid w:val="790F4D60"/>
    <w:rsid w:val="79185895"/>
    <w:rsid w:val="792A3948"/>
    <w:rsid w:val="793A5EEF"/>
    <w:rsid w:val="795D3C37"/>
    <w:rsid w:val="7967694A"/>
    <w:rsid w:val="7975478C"/>
    <w:rsid w:val="797C42A5"/>
    <w:rsid w:val="79831DC6"/>
    <w:rsid w:val="798C582B"/>
    <w:rsid w:val="79962FB3"/>
    <w:rsid w:val="79983CE7"/>
    <w:rsid w:val="79A33E26"/>
    <w:rsid w:val="79A669E4"/>
    <w:rsid w:val="79A77D37"/>
    <w:rsid w:val="79B80FAC"/>
    <w:rsid w:val="79D57D57"/>
    <w:rsid w:val="79D61AA8"/>
    <w:rsid w:val="79DA66F5"/>
    <w:rsid w:val="79E306C6"/>
    <w:rsid w:val="7A2B13ED"/>
    <w:rsid w:val="7A507653"/>
    <w:rsid w:val="7A524800"/>
    <w:rsid w:val="7A546ECE"/>
    <w:rsid w:val="7A6A4943"/>
    <w:rsid w:val="7A8275A9"/>
    <w:rsid w:val="7A861051"/>
    <w:rsid w:val="7AA86A41"/>
    <w:rsid w:val="7AD72985"/>
    <w:rsid w:val="7AF26914"/>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53CB1"/>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DFF1847"/>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1204</Words>
  <Characters>1295</Characters>
  <Lines>6</Lines>
  <Paragraphs>1</Paragraphs>
  <TotalTime>0</TotalTime>
  <ScaleCrop>false</ScaleCrop>
  <LinksUpToDate>false</LinksUpToDate>
  <CharactersWithSpaces>1408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2025-12-15T06:39:32Z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2052-12.1.0.24034</vt:lpwstr>
  </property>
  <property fmtid="{D5CDD505-2E9C-101B-9397-08002B2CF9AE}" pid="6" name="ICV">
    <vt:lpwstr>ADD0061789204B7F9AAE63F99A5592B4_13</vt:lpwstr>
  </property>
  <property fmtid="{D5CDD505-2E9C-101B-9397-08002B2CF9AE}" pid="7" name="KSOTemplateDocerSaveRecord">
    <vt:lpwstr>eyJoZGlkIjoiYjBiYzA0M2MzZDQ3NTllOTFkZjFiY2YwOTI3YmQ3NGUiLCJ1c2VySWQiOiIxMTQzNDg4NTE4In0=</vt:lpwstr>
  </property>
</Properties>
</file>