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AC9E4">
      <w:pPr>
        <w:spacing w:before="156" w:beforeLines="50" w:after="156" w:afterLines="50" w:line="400" w:lineRule="exact"/>
        <w:rPr>
          <w:rFonts w:hint="eastAsia" w:ascii="宋体" w:hAnsi="宋体"/>
          <w:b/>
          <w:bCs/>
          <w:iCs/>
          <w:color w:val="000000"/>
          <w:sz w:val="24"/>
          <w:szCs w:val="24"/>
        </w:rPr>
      </w:pPr>
      <w:r>
        <w:rPr>
          <w:rFonts w:hint="eastAsia" w:ascii="宋体" w:hAnsi="宋体"/>
          <w:b/>
          <w:bCs/>
          <w:iCs/>
          <w:color w:val="000000"/>
          <w:sz w:val="24"/>
          <w:szCs w:val="24"/>
        </w:rPr>
        <w:t>证券代码：</w:t>
      </w:r>
      <w:r>
        <w:rPr>
          <w:rFonts w:ascii="宋体" w:hAnsi="宋体"/>
          <w:b/>
          <w:bCs/>
          <w:iCs/>
          <w:color w:val="000000"/>
          <w:sz w:val="24"/>
          <w:szCs w:val="24"/>
        </w:rPr>
        <w:t>688651</w:t>
      </w:r>
      <w:r>
        <w:rPr>
          <w:rFonts w:hint="eastAsia" w:ascii="宋体" w:hAnsi="宋体"/>
          <w:b/>
          <w:bCs/>
          <w:iCs/>
          <w:color w:val="000000"/>
          <w:sz w:val="24"/>
          <w:szCs w:val="24"/>
        </w:rPr>
        <w:t xml:space="preserve">                                  证券简称：盛邦安全</w:t>
      </w:r>
    </w:p>
    <w:p w14:paraId="3760004D">
      <w:pPr>
        <w:spacing w:before="156" w:beforeLines="50" w:after="156" w:afterLines="50" w:line="400" w:lineRule="exact"/>
        <w:jc w:val="center"/>
        <w:rPr>
          <w:rFonts w:hint="eastAsia" w:ascii="宋体" w:hAnsi="宋体"/>
          <w:b/>
          <w:bCs/>
          <w:iCs/>
          <w:color w:val="000000"/>
          <w:sz w:val="32"/>
          <w:szCs w:val="32"/>
        </w:rPr>
      </w:pPr>
    </w:p>
    <w:p w14:paraId="78F866F5">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远江盛邦安全科技集团股份有限公司</w:t>
      </w:r>
    </w:p>
    <w:p w14:paraId="6C92AECD">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5248DA98">
      <w:pPr>
        <w:jc w:val="right"/>
        <w:rPr>
          <w:rFonts w:hint="eastAsia" w:ascii="宋体" w:hAnsi="宋体" w:eastAsiaTheme="minorEastAsia"/>
          <w:bCs/>
          <w:iCs/>
          <w:color w:val="000000"/>
          <w:sz w:val="24"/>
          <w:lang w:eastAsia="zh-CN"/>
        </w:rPr>
      </w:pPr>
      <w:r>
        <w:rPr>
          <w:rFonts w:hint="eastAsia" w:ascii="宋体" w:hAnsi="宋体"/>
          <w:bCs/>
          <w:iCs/>
          <w:color w:val="000000"/>
          <w:sz w:val="24"/>
        </w:rPr>
        <w:t>编号：202</w:t>
      </w:r>
      <w:r>
        <w:rPr>
          <w:rFonts w:ascii="宋体" w:hAnsi="宋体"/>
          <w:bCs/>
          <w:iCs/>
          <w:color w:val="000000"/>
          <w:sz w:val="24"/>
        </w:rPr>
        <w:t>5</w:t>
      </w:r>
      <w:r>
        <w:rPr>
          <w:rFonts w:hint="eastAsia" w:ascii="宋体" w:hAnsi="宋体"/>
          <w:bCs/>
          <w:iCs/>
          <w:color w:val="000000"/>
          <w:sz w:val="24"/>
        </w:rPr>
        <w:t>-</w:t>
      </w:r>
      <w:r>
        <w:rPr>
          <w:rFonts w:ascii="宋体" w:hAnsi="宋体"/>
          <w:bCs/>
          <w:iCs/>
          <w:color w:val="000000"/>
          <w:sz w:val="24"/>
        </w:rPr>
        <w:t>00</w:t>
      </w:r>
      <w:r>
        <w:rPr>
          <w:rFonts w:hint="eastAsia" w:ascii="宋体" w:hAnsi="宋体"/>
          <w:bCs/>
          <w:iCs/>
          <w:color w:val="000000"/>
          <w:sz w:val="24"/>
          <w:lang w:val="en-US" w:eastAsia="zh-CN"/>
        </w:rPr>
        <w:t>4</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558"/>
      </w:tblGrid>
      <w:tr w14:paraId="0DBE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4FF6D741">
            <w:pPr>
              <w:spacing w:line="480" w:lineRule="atLeast"/>
              <w:jc w:val="center"/>
              <w:rPr>
                <w:rFonts w:hint="eastAsia" w:asciiTheme="minorEastAsia" w:hAnsiTheme="minorEastAsia"/>
                <w:bCs/>
                <w:iCs/>
                <w:color w:val="000000"/>
                <w:sz w:val="24"/>
              </w:rPr>
            </w:pPr>
            <w:r>
              <w:rPr>
                <w:rFonts w:hint="eastAsia" w:asciiTheme="minorEastAsia" w:hAnsiTheme="minorEastAsia"/>
                <w:bCs/>
                <w:iCs/>
                <w:color w:val="000000"/>
                <w:sz w:val="24"/>
              </w:rPr>
              <w:t>投资者关系活动类别</w:t>
            </w:r>
          </w:p>
        </w:tc>
        <w:tc>
          <w:tcPr>
            <w:tcW w:w="6558" w:type="dxa"/>
            <w:tcBorders>
              <w:top w:val="single" w:color="auto" w:sz="4" w:space="0"/>
              <w:left w:val="single" w:color="auto" w:sz="4" w:space="0"/>
              <w:bottom w:val="single" w:color="auto" w:sz="4" w:space="0"/>
              <w:right w:val="single" w:color="auto" w:sz="4" w:space="0"/>
            </w:tcBorders>
          </w:tcPr>
          <w:p w14:paraId="4BACB0E1">
            <w:pPr>
              <w:tabs>
                <w:tab w:val="left" w:pos="2487"/>
              </w:tabs>
              <w:spacing w:line="360" w:lineRule="auto"/>
              <w:rPr>
                <w:rFonts w:hint="eastAsia" w:asciiTheme="minorEastAsia" w:hAnsiTheme="minorEastAsia"/>
                <w:bCs/>
                <w:iCs/>
                <w:color w:val="000000"/>
                <w:sz w:val="24"/>
              </w:rPr>
            </w:pPr>
            <w:r>
              <w:rPr>
                <w:rFonts w:hint="eastAsia" w:asciiTheme="minorEastAsia" w:hAnsiTheme="minorEastAsia"/>
                <w:bCs/>
                <w:iCs/>
                <w:color w:val="000000"/>
                <w:sz w:val="24"/>
                <w:lang w:eastAsia="zh-CN"/>
              </w:rPr>
              <w:t>☑</w:t>
            </w:r>
            <w:r>
              <w:rPr>
                <w:rFonts w:hint="eastAsia" w:asciiTheme="minorEastAsia" w:hAnsiTheme="minorEastAsia"/>
                <w:sz w:val="24"/>
              </w:rPr>
              <w:t xml:space="preserve">特定对象调研        </w:t>
            </w:r>
            <w:r>
              <w:rPr>
                <w:rFonts w:hint="eastAsia" w:asciiTheme="minorEastAsia" w:hAnsiTheme="minorEastAsia"/>
                <w:bCs/>
                <w:iCs/>
                <w:color w:val="000000"/>
                <w:sz w:val="24"/>
              </w:rPr>
              <w:t>□</w:t>
            </w:r>
            <w:r>
              <w:rPr>
                <w:rFonts w:hint="eastAsia" w:asciiTheme="minorEastAsia" w:hAnsiTheme="minorEastAsia"/>
                <w:sz w:val="24"/>
              </w:rPr>
              <w:t>分析师会议</w:t>
            </w:r>
          </w:p>
          <w:p w14:paraId="3B0A8087">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 xml:space="preserve">媒体采访            </w:t>
            </w:r>
            <w:r>
              <w:rPr>
                <w:rFonts w:hint="eastAsia" w:asciiTheme="minorEastAsia" w:hAnsiTheme="minorEastAsia"/>
                <w:bCs/>
                <w:iCs/>
                <w:color w:val="000000"/>
                <w:sz w:val="24"/>
                <w:lang w:eastAsia="zh-CN"/>
              </w:rPr>
              <w:t>□</w:t>
            </w:r>
            <w:r>
              <w:rPr>
                <w:rFonts w:hint="eastAsia" w:asciiTheme="minorEastAsia" w:hAnsiTheme="minorEastAsia"/>
                <w:sz w:val="24"/>
              </w:rPr>
              <w:t>业绩说明会</w:t>
            </w:r>
          </w:p>
          <w:p w14:paraId="1CF19E40">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 xml:space="preserve">新闻发布会          </w:t>
            </w:r>
            <w:r>
              <w:rPr>
                <w:rFonts w:hint="eastAsia" w:asciiTheme="minorEastAsia" w:hAnsiTheme="minorEastAsia"/>
                <w:bCs/>
                <w:iCs/>
                <w:color w:val="000000"/>
                <w:sz w:val="24"/>
              </w:rPr>
              <w:t>□</w:t>
            </w:r>
            <w:r>
              <w:rPr>
                <w:rFonts w:hint="eastAsia" w:asciiTheme="minorEastAsia" w:hAnsiTheme="minorEastAsia"/>
                <w:sz w:val="24"/>
              </w:rPr>
              <w:t>路演活动</w:t>
            </w:r>
          </w:p>
          <w:p w14:paraId="7C50C39B">
            <w:pPr>
              <w:tabs>
                <w:tab w:val="left" w:pos="2565"/>
                <w:tab w:val="center" w:pos="3199"/>
              </w:tabs>
              <w:spacing w:line="360" w:lineRule="auto"/>
              <w:rPr>
                <w:rFonts w:hint="eastAsia" w:asciiTheme="minorEastAsia" w:hAnsiTheme="minorEastAsia"/>
                <w:bCs/>
                <w:iCs/>
                <w:color w:val="000000"/>
                <w:sz w:val="24"/>
              </w:rPr>
            </w:pPr>
            <w:r>
              <w:rPr>
                <w:rFonts w:hint="eastAsia" w:asciiTheme="minorEastAsia" w:hAnsiTheme="minorEastAsia"/>
                <w:bCs/>
                <w:iCs/>
                <w:color w:val="000000"/>
                <w:sz w:val="24"/>
                <w:lang w:eastAsia="zh-CN"/>
              </w:rPr>
              <w:t>☑</w:t>
            </w:r>
            <w:r>
              <w:rPr>
                <w:rFonts w:hint="eastAsia" w:asciiTheme="minorEastAsia" w:hAnsiTheme="minorEastAsia"/>
                <w:sz w:val="24"/>
              </w:rPr>
              <w:t>现场参观</w:t>
            </w:r>
          </w:p>
          <w:p w14:paraId="416D00A7">
            <w:pPr>
              <w:tabs>
                <w:tab w:val="center" w:pos="3199"/>
              </w:tabs>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其他（</w:t>
            </w:r>
            <w:r>
              <w:rPr>
                <w:rFonts w:hint="eastAsia" w:asciiTheme="minorEastAsia" w:hAnsiTheme="minorEastAsia"/>
                <w:sz w:val="24"/>
                <w:u w:val="single"/>
              </w:rPr>
              <w:t>请文字说明其他活动内容）</w:t>
            </w:r>
          </w:p>
        </w:tc>
      </w:tr>
      <w:tr w14:paraId="7C99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964" w:type="dxa"/>
            <w:tcBorders>
              <w:top w:val="single" w:color="auto" w:sz="4" w:space="0"/>
              <w:left w:val="single" w:color="auto" w:sz="4" w:space="0"/>
              <w:bottom w:val="single" w:color="auto" w:sz="4" w:space="0"/>
              <w:right w:val="single" w:color="auto" w:sz="4" w:space="0"/>
            </w:tcBorders>
            <w:vAlign w:val="center"/>
          </w:tcPr>
          <w:p w14:paraId="6E44B212">
            <w:pPr>
              <w:spacing w:line="480" w:lineRule="atLeast"/>
              <w:jc w:val="center"/>
              <w:rPr>
                <w:rFonts w:hint="eastAsia" w:asciiTheme="minorEastAsia" w:hAnsiTheme="minorEastAsia"/>
                <w:bCs/>
                <w:iCs/>
                <w:color w:val="000000"/>
                <w:sz w:val="24"/>
              </w:rPr>
            </w:pPr>
            <w:r>
              <w:rPr>
                <w:rFonts w:hint="eastAsia" w:asciiTheme="minorEastAsia" w:hAnsiTheme="minorEastAsia"/>
                <w:bCs/>
                <w:iCs/>
                <w:color w:val="000000"/>
                <w:sz w:val="24"/>
              </w:rPr>
              <w:t>参与单位名称及人员姓名</w:t>
            </w:r>
          </w:p>
        </w:tc>
        <w:tc>
          <w:tcPr>
            <w:tcW w:w="6558" w:type="dxa"/>
            <w:tcBorders>
              <w:top w:val="single" w:color="auto" w:sz="4" w:space="0"/>
              <w:left w:val="single" w:color="auto" w:sz="4" w:space="0"/>
              <w:bottom w:val="single" w:color="auto" w:sz="4" w:space="0"/>
              <w:right w:val="single" w:color="auto" w:sz="4" w:space="0"/>
            </w:tcBorders>
            <w:vAlign w:val="center"/>
          </w:tcPr>
          <w:p w14:paraId="4F9662CE">
            <w:pPr>
              <w:spacing w:before="156" w:beforeLines="50" w:after="156" w:afterLines="50" w:line="360" w:lineRule="auto"/>
              <w:rPr>
                <w:rFonts w:hint="default" w:asciiTheme="minorEastAsia" w:hAnsiTheme="minorEastAsia" w:eastAsiaTheme="minorEastAsia"/>
                <w:bCs/>
                <w:iCs/>
                <w:color w:val="000000"/>
                <w:sz w:val="24"/>
                <w:lang w:val="en-US" w:eastAsia="zh-CN"/>
              </w:rPr>
            </w:pPr>
            <w:r>
              <w:rPr>
                <w:rFonts w:hint="eastAsia" w:asciiTheme="minorEastAsia" w:hAnsiTheme="minorEastAsia"/>
                <w:bCs/>
                <w:iCs/>
                <w:color w:val="000000"/>
                <w:sz w:val="24"/>
                <w:lang w:val="en-US" w:eastAsia="zh-CN"/>
              </w:rPr>
              <w:t>华泰柏瑞基金 陈碧野；易米基金 杨浩伟；国投证券 熊迪玮；友安众晟资产 张恒辉；方正证券 王志广；国投证券 夏瀛韬；国投证券 杨楠；金鼎资本 唐晨卓；天弘基金 杜田野；金融街证券 徐娜；益民基金 张婷；长城财富保险 赵天昊；中邮资管 孟东晖；融通基金 周凡舒；中信证券 陈明蔚；中信证券 张清源；万家基金 张希晨；信达澳亚基金</w:t>
            </w:r>
            <w:bookmarkStart w:id="0" w:name="_GoBack"/>
            <w:bookmarkEnd w:id="0"/>
            <w:r>
              <w:rPr>
                <w:rFonts w:hint="eastAsia" w:asciiTheme="minorEastAsia" w:hAnsiTheme="minorEastAsia"/>
                <w:bCs/>
                <w:iCs/>
                <w:color w:val="000000"/>
                <w:sz w:val="24"/>
                <w:lang w:val="en-US" w:eastAsia="zh-CN"/>
              </w:rPr>
              <w:t xml:space="preserve"> 陈一博；中信建投证券 王嘉昊</w:t>
            </w:r>
          </w:p>
        </w:tc>
      </w:tr>
      <w:tr w14:paraId="659D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64" w:type="dxa"/>
            <w:tcBorders>
              <w:top w:val="single" w:color="auto" w:sz="4" w:space="0"/>
              <w:left w:val="single" w:color="auto" w:sz="4" w:space="0"/>
              <w:bottom w:val="single" w:color="auto" w:sz="4" w:space="0"/>
              <w:right w:val="single" w:color="auto" w:sz="4" w:space="0"/>
            </w:tcBorders>
            <w:vAlign w:val="center"/>
          </w:tcPr>
          <w:p w14:paraId="1D78DEF8">
            <w:pPr>
              <w:spacing w:line="480" w:lineRule="atLeast"/>
              <w:jc w:val="center"/>
              <w:rPr>
                <w:rFonts w:hint="eastAsia" w:asciiTheme="minorEastAsia" w:hAnsiTheme="minorEastAsia"/>
                <w:bCs/>
                <w:iCs/>
                <w:color w:val="000000"/>
                <w:sz w:val="24"/>
              </w:rPr>
            </w:pPr>
            <w:r>
              <w:rPr>
                <w:rFonts w:hint="eastAsia" w:asciiTheme="minorEastAsia" w:hAnsiTheme="minorEastAsia"/>
                <w:bCs/>
                <w:iCs/>
                <w:color w:val="000000"/>
                <w:sz w:val="24"/>
              </w:rPr>
              <w:t>时间</w:t>
            </w:r>
          </w:p>
        </w:tc>
        <w:tc>
          <w:tcPr>
            <w:tcW w:w="6558" w:type="dxa"/>
            <w:tcBorders>
              <w:top w:val="single" w:color="auto" w:sz="4" w:space="0"/>
              <w:left w:val="single" w:color="auto" w:sz="4" w:space="0"/>
              <w:bottom w:val="single" w:color="auto" w:sz="4" w:space="0"/>
              <w:right w:val="single" w:color="auto" w:sz="4" w:space="0"/>
            </w:tcBorders>
          </w:tcPr>
          <w:p w14:paraId="410E88AA">
            <w:pPr>
              <w:spacing w:line="480" w:lineRule="atLeast"/>
              <w:rPr>
                <w:rFonts w:hint="eastAsia" w:asciiTheme="minorEastAsia" w:hAnsiTheme="minorEastAsia"/>
                <w:bCs/>
                <w:iCs/>
                <w:color w:val="000000"/>
                <w:sz w:val="24"/>
              </w:rPr>
            </w:pPr>
            <w:r>
              <w:rPr>
                <w:rFonts w:hint="eastAsia" w:asciiTheme="minorEastAsia" w:hAnsiTheme="minorEastAsia"/>
                <w:bCs/>
                <w:iCs/>
                <w:color w:val="000000"/>
                <w:sz w:val="24"/>
              </w:rPr>
              <w:t>2</w:t>
            </w:r>
            <w:r>
              <w:rPr>
                <w:rFonts w:asciiTheme="minorEastAsia" w:hAnsiTheme="minorEastAsia"/>
                <w:bCs/>
                <w:iCs/>
                <w:color w:val="000000"/>
                <w:sz w:val="24"/>
              </w:rPr>
              <w:t>02</w:t>
            </w:r>
            <w:r>
              <w:rPr>
                <w:rFonts w:hint="eastAsia" w:asciiTheme="minorEastAsia" w:hAnsiTheme="minorEastAsia"/>
                <w:bCs/>
                <w:iCs/>
                <w:color w:val="000000"/>
                <w:sz w:val="24"/>
              </w:rPr>
              <w:t>5年</w:t>
            </w:r>
            <w:r>
              <w:rPr>
                <w:rFonts w:hint="eastAsia" w:asciiTheme="minorEastAsia" w:hAnsiTheme="minorEastAsia"/>
                <w:bCs/>
                <w:iCs/>
                <w:color w:val="000000"/>
                <w:sz w:val="24"/>
                <w:lang w:val="en-US" w:eastAsia="zh-CN"/>
              </w:rPr>
              <w:t>12</w:t>
            </w:r>
            <w:r>
              <w:rPr>
                <w:rFonts w:hint="eastAsia" w:asciiTheme="minorEastAsia" w:hAnsiTheme="minorEastAsia"/>
                <w:bCs/>
                <w:iCs/>
                <w:color w:val="000000"/>
                <w:sz w:val="24"/>
              </w:rPr>
              <w:t>月</w:t>
            </w:r>
          </w:p>
        </w:tc>
      </w:tr>
      <w:tr w14:paraId="4216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64" w:type="dxa"/>
            <w:tcBorders>
              <w:top w:val="single" w:color="auto" w:sz="4" w:space="0"/>
              <w:left w:val="single" w:color="auto" w:sz="4" w:space="0"/>
              <w:bottom w:val="single" w:color="auto" w:sz="4" w:space="0"/>
              <w:right w:val="single" w:color="auto" w:sz="4" w:space="0"/>
            </w:tcBorders>
            <w:vAlign w:val="center"/>
          </w:tcPr>
          <w:p w14:paraId="6FFEC512">
            <w:pPr>
              <w:spacing w:line="360"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地点</w:t>
            </w:r>
          </w:p>
        </w:tc>
        <w:tc>
          <w:tcPr>
            <w:tcW w:w="6558" w:type="dxa"/>
            <w:tcBorders>
              <w:top w:val="single" w:color="auto" w:sz="4" w:space="0"/>
              <w:left w:val="single" w:color="auto" w:sz="4" w:space="0"/>
              <w:bottom w:val="single" w:color="auto" w:sz="4" w:space="0"/>
              <w:right w:val="single" w:color="auto" w:sz="4" w:space="0"/>
            </w:tcBorders>
            <w:vAlign w:val="center"/>
          </w:tcPr>
          <w:p w14:paraId="1BDB2B3E">
            <w:pPr>
              <w:spacing w:line="360" w:lineRule="auto"/>
              <w:rPr>
                <w:rFonts w:hint="default" w:asciiTheme="minorEastAsia" w:hAnsiTheme="minorEastAsia" w:eastAsiaTheme="minorEastAsia"/>
                <w:bCs/>
                <w:iCs/>
                <w:color w:val="000000"/>
                <w:sz w:val="24"/>
                <w:lang w:val="en-US" w:eastAsia="zh-CN"/>
              </w:rPr>
            </w:pPr>
            <w:r>
              <w:rPr>
                <w:rFonts w:hint="eastAsia" w:cs="宋体" w:asciiTheme="minorEastAsia" w:hAnsiTheme="minorEastAsia"/>
                <w:bCs/>
                <w:color w:val="000000"/>
                <w:kern w:val="0"/>
                <w:sz w:val="24"/>
                <w:szCs w:val="24"/>
                <w:lang w:val="en-US" w:eastAsia="zh-CN"/>
              </w:rPr>
              <w:t>公司会议室</w:t>
            </w:r>
          </w:p>
        </w:tc>
      </w:tr>
      <w:tr w14:paraId="7BA0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77EA6D6F">
            <w:pPr>
              <w:spacing w:line="276"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上市公司接待</w:t>
            </w:r>
          </w:p>
          <w:p w14:paraId="35818C02">
            <w:pPr>
              <w:spacing w:line="276"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人员姓名</w:t>
            </w:r>
          </w:p>
        </w:tc>
        <w:tc>
          <w:tcPr>
            <w:tcW w:w="6558" w:type="dxa"/>
            <w:tcBorders>
              <w:top w:val="single" w:color="auto" w:sz="4" w:space="0"/>
              <w:left w:val="single" w:color="auto" w:sz="4" w:space="0"/>
              <w:bottom w:val="single" w:color="auto" w:sz="4" w:space="0"/>
              <w:right w:val="single" w:color="auto" w:sz="4" w:space="0"/>
            </w:tcBorders>
            <w:vAlign w:val="center"/>
          </w:tcPr>
          <w:p w14:paraId="45E4F53A">
            <w:pPr>
              <w:spacing w:before="156" w:beforeLines="50" w:after="156" w:afterLines="50" w:line="360" w:lineRule="auto"/>
              <w:rPr>
                <w:rFonts w:hint="default" w:asciiTheme="minorEastAsia" w:hAnsiTheme="minorEastAsia" w:eastAsiaTheme="minorEastAsia"/>
                <w:bCs/>
                <w:iCs/>
                <w:color w:val="000000"/>
                <w:sz w:val="24"/>
                <w:lang w:val="en-US" w:eastAsia="zh-CN"/>
              </w:rPr>
            </w:pPr>
            <w:r>
              <w:rPr>
                <w:rFonts w:hint="eastAsia" w:asciiTheme="minorEastAsia" w:hAnsiTheme="minorEastAsia"/>
                <w:bCs/>
                <w:iCs/>
                <w:color w:val="000000"/>
                <w:sz w:val="24"/>
                <w:lang w:val="en-US" w:eastAsia="zh-CN"/>
              </w:rPr>
              <w:t>公司IR团队</w:t>
            </w:r>
          </w:p>
        </w:tc>
      </w:tr>
      <w:tr w14:paraId="5C17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5BC1FD2F">
            <w:pPr>
              <w:spacing w:line="360"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投资者关系活动主要内容介绍</w:t>
            </w:r>
          </w:p>
        </w:tc>
        <w:tc>
          <w:tcPr>
            <w:tcW w:w="6558" w:type="dxa"/>
            <w:tcBorders>
              <w:top w:val="single" w:color="auto" w:sz="4" w:space="0"/>
              <w:left w:val="single" w:color="auto" w:sz="4" w:space="0"/>
              <w:bottom w:val="single" w:color="auto" w:sz="4" w:space="0"/>
              <w:right w:val="single" w:color="auto" w:sz="4" w:space="0"/>
            </w:tcBorders>
          </w:tcPr>
          <w:p w14:paraId="608F6304">
            <w:pPr>
              <w:spacing w:line="360" w:lineRule="auto"/>
              <w:rPr>
                <w:rFonts w:hint="eastAsia" w:ascii="宋体"/>
                <w:b/>
                <w:bCs/>
                <w:sz w:val="24"/>
              </w:rPr>
            </w:pPr>
            <w:r>
              <w:rPr>
                <w:rFonts w:hint="eastAsia" w:ascii="宋体"/>
                <w:b/>
                <w:bCs/>
                <w:sz w:val="24"/>
              </w:rPr>
              <w:t>1</w:t>
            </w:r>
            <w:r>
              <w:rPr>
                <w:rFonts w:ascii="宋体"/>
                <w:b/>
                <w:bCs/>
                <w:sz w:val="24"/>
              </w:rPr>
              <w:t>、</w:t>
            </w:r>
            <w:r>
              <w:rPr>
                <w:rFonts w:hint="eastAsia" w:ascii="宋体"/>
                <w:b/>
                <w:bCs/>
                <w:sz w:val="24"/>
              </w:rPr>
              <w:t>公司如何看待近期商业航天领域的快速发展？公司的卫星互联网安全技术有什么优势？</w:t>
            </w:r>
          </w:p>
          <w:p w14:paraId="51BBC213">
            <w:pPr>
              <w:spacing w:line="360" w:lineRule="auto"/>
              <w:rPr>
                <w:rFonts w:hint="eastAsia" w:ascii="宋体"/>
                <w:sz w:val="24"/>
                <w:lang w:val="en-US" w:eastAsia="zh-CN"/>
              </w:rPr>
            </w:pPr>
            <w:r>
              <w:rPr>
                <w:rFonts w:hint="eastAsia" w:ascii="宋体"/>
                <w:sz w:val="24"/>
                <w:lang w:val="en-US" w:eastAsia="zh-CN"/>
              </w:rPr>
              <w:t>答：尊敬的投资者，您好。</w:t>
            </w:r>
          </w:p>
          <w:p w14:paraId="06FF594E">
            <w:pPr>
              <w:spacing w:line="360" w:lineRule="auto"/>
              <w:ind w:firstLine="480"/>
              <w:rPr>
                <w:rFonts w:hint="eastAsia" w:ascii="宋体"/>
                <w:sz w:val="24"/>
                <w:lang w:val="en-US" w:eastAsia="zh-CN"/>
              </w:rPr>
            </w:pPr>
            <w:r>
              <w:rPr>
                <w:rFonts w:hint="eastAsia" w:ascii="宋体"/>
                <w:sz w:val="24"/>
                <w:lang w:val="en-US" w:eastAsia="zh-CN"/>
              </w:rPr>
              <w:t>近期国家层面成立商业航天司、“朱雀三号”可回收火箭发射试验、卫星发射频次提升等，表明商业航天正迈入规范化、规模化快车道。因卫星互联网融合了卫星星座、星间链路、地面站、用户终端和云端系统形成空天地一体的特殊架构，拥有复杂开放的运行环境，再加上其涉及国家关键领域、涉及海量用户利益的重要属性，其安全保障需“伴星而生、天地一体”，逐渐成为卫星互联网建设阶段的刚需配置。公司自2021年起开展卫星互联网安全研究，率先提出“通过密码定义卫星互联网的用户和边界”的观点，以“空天地一体化防护”为核心战略，构建了覆盖卫星全生命周期的安全解决方案，形成“产品矩阵+生态协同+技术突破”的核心竞争力。</w:t>
            </w:r>
          </w:p>
          <w:p w14:paraId="6DAB7D57">
            <w:pPr>
              <w:spacing w:line="360" w:lineRule="auto"/>
              <w:ind w:firstLine="480"/>
              <w:rPr>
                <w:rFonts w:hint="eastAsia" w:ascii="宋体"/>
                <w:sz w:val="24"/>
                <w:lang w:val="en-US" w:eastAsia="zh-CN"/>
              </w:rPr>
            </w:pPr>
            <w:r>
              <w:rPr>
                <w:rFonts w:hint="eastAsia" w:ascii="宋体"/>
                <w:sz w:val="24"/>
                <w:lang w:val="en-US" w:eastAsia="zh-CN"/>
              </w:rPr>
              <w:t>感谢您的关注与支持！</w:t>
            </w:r>
          </w:p>
          <w:p w14:paraId="2EDCAC92">
            <w:pPr>
              <w:spacing w:line="360" w:lineRule="auto"/>
              <w:ind w:firstLine="480"/>
              <w:rPr>
                <w:rFonts w:hint="default" w:ascii="宋体"/>
                <w:sz w:val="24"/>
                <w:lang w:val="en-US" w:eastAsia="zh-CN"/>
              </w:rPr>
            </w:pPr>
          </w:p>
          <w:p w14:paraId="681EA116">
            <w:pPr>
              <w:spacing w:line="360" w:lineRule="auto"/>
              <w:ind w:firstLine="480"/>
              <w:rPr>
                <w:rFonts w:hint="eastAsia" w:ascii="宋体"/>
                <w:b/>
                <w:bCs/>
                <w:sz w:val="24"/>
                <w:lang w:val="en-US" w:eastAsia="zh-CN"/>
              </w:rPr>
            </w:pPr>
            <w:r>
              <w:rPr>
                <w:rFonts w:hint="eastAsia" w:ascii="宋体"/>
                <w:b/>
                <w:bCs/>
                <w:sz w:val="24"/>
                <w:lang w:val="en-US" w:eastAsia="zh-CN"/>
              </w:rPr>
              <w:t>2、公司在卫星互联网领域持续布局，目前有什么产品用于星上？具体用在哪个环节？</w:t>
            </w:r>
          </w:p>
          <w:p w14:paraId="3FF42063">
            <w:pPr>
              <w:spacing w:line="360" w:lineRule="auto"/>
              <w:rPr>
                <w:rFonts w:hint="eastAsia" w:ascii="宋体"/>
                <w:sz w:val="24"/>
                <w:lang w:val="en-US" w:eastAsia="zh-CN"/>
              </w:rPr>
            </w:pPr>
            <w:r>
              <w:rPr>
                <w:rFonts w:hint="eastAsia" w:ascii="宋体"/>
                <w:sz w:val="24"/>
                <w:lang w:val="en-US" w:eastAsia="zh-CN"/>
              </w:rPr>
              <w:t>答：尊敬的投资者，您好。</w:t>
            </w:r>
          </w:p>
          <w:p w14:paraId="176D43D5">
            <w:pPr>
              <w:spacing w:line="360" w:lineRule="auto"/>
              <w:ind w:firstLine="480" w:firstLineChars="200"/>
              <w:rPr>
                <w:rFonts w:hint="eastAsia" w:ascii="宋体"/>
                <w:sz w:val="24"/>
                <w:lang w:val="en-US" w:eastAsia="zh-CN"/>
              </w:rPr>
            </w:pPr>
            <w:r>
              <w:rPr>
                <w:rFonts w:hint="eastAsia" w:ascii="宋体"/>
                <w:sz w:val="24"/>
                <w:lang w:val="en-US" w:eastAsia="zh-CN"/>
              </w:rPr>
              <w:t>公司在卫星互联网领域持续布局，形成面向卫星测控网、运控网、接入网的安全产品，构建覆盖卫星、基站、系统和终端的空天地一体化纵深防护体系。公司的卫星通讯加密模块可用于卫星及地面终端，保护卫星的数据传输安全；卫星攻防载荷产品可用于卫星上，提供安全检测及防护能力；高速链路加密产品可用于星地传输及星间传输场景，为卫星数据的流转提供保护。</w:t>
            </w:r>
          </w:p>
          <w:p w14:paraId="73AB3B61">
            <w:pPr>
              <w:spacing w:line="360" w:lineRule="auto"/>
              <w:ind w:firstLine="480" w:firstLineChars="200"/>
              <w:rPr>
                <w:rFonts w:hint="eastAsia" w:ascii="宋体"/>
                <w:sz w:val="24"/>
                <w:lang w:val="en-US" w:eastAsia="zh-CN"/>
              </w:rPr>
            </w:pPr>
            <w:r>
              <w:rPr>
                <w:rFonts w:hint="eastAsia" w:ascii="宋体"/>
                <w:sz w:val="24"/>
                <w:lang w:val="en-US" w:eastAsia="zh-CN"/>
              </w:rPr>
              <w:t>感谢您的关注与支持！</w:t>
            </w:r>
          </w:p>
          <w:p w14:paraId="62FF79FA">
            <w:pPr>
              <w:spacing w:line="360" w:lineRule="auto"/>
              <w:ind w:firstLine="480" w:firstLineChars="200"/>
              <w:rPr>
                <w:rFonts w:hint="default" w:ascii="宋体"/>
                <w:sz w:val="24"/>
                <w:lang w:val="en-US" w:eastAsia="zh-CN"/>
              </w:rPr>
            </w:pPr>
          </w:p>
          <w:p w14:paraId="673E3BB5">
            <w:pPr>
              <w:spacing w:line="360" w:lineRule="auto"/>
              <w:rPr>
                <w:rFonts w:hint="eastAsia" w:ascii="宋体"/>
                <w:b/>
                <w:bCs/>
                <w:sz w:val="24"/>
                <w:lang w:val="en-US" w:eastAsia="zh-CN"/>
              </w:rPr>
            </w:pPr>
            <w:r>
              <w:rPr>
                <w:rFonts w:hint="eastAsia" w:ascii="宋体"/>
                <w:b/>
                <w:bCs/>
                <w:sz w:val="24"/>
                <w:lang w:val="en-US" w:eastAsia="zh-CN"/>
              </w:rPr>
              <w:t>3、公司在算力上天领域，是否有应用和产品布局？</w:t>
            </w:r>
          </w:p>
          <w:p w14:paraId="06E350CD">
            <w:pPr>
              <w:spacing w:line="360" w:lineRule="auto"/>
              <w:rPr>
                <w:rFonts w:hint="eastAsia" w:ascii="宋体"/>
                <w:sz w:val="24"/>
                <w:lang w:val="en-US" w:eastAsia="zh-CN"/>
              </w:rPr>
            </w:pPr>
            <w:r>
              <w:rPr>
                <w:rFonts w:hint="eastAsia" w:ascii="宋体"/>
                <w:sz w:val="24"/>
                <w:lang w:val="en-US" w:eastAsia="zh-CN"/>
              </w:rPr>
              <w:t>答：尊敬的投资者，您好。</w:t>
            </w:r>
          </w:p>
          <w:p w14:paraId="33538247">
            <w:pPr>
              <w:spacing w:line="360" w:lineRule="auto"/>
              <w:ind w:firstLine="480" w:firstLineChars="200"/>
              <w:rPr>
                <w:rFonts w:hint="eastAsia" w:ascii="宋体"/>
                <w:sz w:val="24"/>
                <w:lang w:val="en-US" w:eastAsia="zh-CN"/>
              </w:rPr>
            </w:pPr>
            <w:r>
              <w:rPr>
                <w:rFonts w:hint="eastAsia" w:ascii="宋体"/>
                <w:sz w:val="24"/>
                <w:lang w:val="en-US" w:eastAsia="zh-CN"/>
              </w:rPr>
              <w:t>算力上天场景涉及星上算力节点、星间链路、地面智算中心的全链路跨域数据交互，传输链路开放且太空极端环境与星地通信时延导致地面安全响应滞后，易遭遇信号窃听、数据篡改、身份伪冒等攻击；同时其承载的如应急调度、AI训练等核心数据兼具商业价值与战略意义，且星上算力节点多采用商用芯片，存在安全漏洞且在轨升级困难，亟需安全产品构建长效防护屏障。高速链路加密产品是破解算力上天“安全与效率矛盾”的刚需核心。传统安全方案的低吞吐、高时延会成为算力传输的“性能瓶颈”，公司200G高速链路加密网关与该场景高度适配，整机具备200Gbps加解密吞吐能力，可轻松应对海量数据传输加密需求；3微秒超低时延实现安全防护“零感知”，较传统加密设备性能跃升数倍，完美匹配低时延业务算力调度要求；且支持国密算法及量子密钥分发接入，核心软硬件100%自主可控，可与微型IP链路加密机组成“主干 + 终端”组网模式，覆盖卫星中心站、信关站、星间链路等全环节，全方位支撑算力上天场景安全落地。</w:t>
            </w:r>
          </w:p>
          <w:p w14:paraId="337D185A">
            <w:pPr>
              <w:spacing w:line="360" w:lineRule="auto"/>
              <w:ind w:firstLine="480" w:firstLineChars="200"/>
              <w:rPr>
                <w:rFonts w:hint="eastAsia" w:ascii="宋体"/>
                <w:sz w:val="24"/>
                <w:lang w:val="en-US" w:eastAsia="zh-CN"/>
              </w:rPr>
            </w:pPr>
            <w:r>
              <w:rPr>
                <w:rFonts w:hint="eastAsia" w:ascii="宋体"/>
                <w:sz w:val="24"/>
                <w:lang w:val="en-US" w:eastAsia="zh-CN"/>
              </w:rPr>
              <w:t>感谢您的关注与支持！</w:t>
            </w:r>
          </w:p>
          <w:p w14:paraId="19F71093">
            <w:pPr>
              <w:spacing w:line="360" w:lineRule="auto"/>
              <w:rPr>
                <w:rFonts w:hint="default" w:ascii="宋体"/>
                <w:sz w:val="24"/>
                <w:lang w:val="en-US" w:eastAsia="zh-CN"/>
              </w:rPr>
            </w:pPr>
          </w:p>
          <w:p w14:paraId="7B0F6F9C">
            <w:pPr>
              <w:spacing w:line="360" w:lineRule="auto"/>
              <w:rPr>
                <w:rFonts w:hint="eastAsia" w:ascii="宋体"/>
                <w:b/>
                <w:bCs/>
                <w:sz w:val="24"/>
                <w:lang w:val="en-US" w:eastAsia="zh-CN"/>
              </w:rPr>
            </w:pPr>
            <w:r>
              <w:rPr>
                <w:rFonts w:hint="eastAsia" w:ascii="宋体"/>
                <w:b/>
                <w:bCs/>
                <w:sz w:val="24"/>
                <w:lang w:val="en-US" w:eastAsia="zh-CN"/>
              </w:rPr>
              <w:t>4、公司近年来在商业航天领域投资较多，是出于何种考虑？</w:t>
            </w:r>
          </w:p>
          <w:p w14:paraId="541DEA4F">
            <w:pPr>
              <w:spacing w:line="360" w:lineRule="auto"/>
              <w:rPr>
                <w:rFonts w:hint="eastAsia" w:ascii="宋体"/>
                <w:sz w:val="24"/>
                <w:lang w:val="en-US" w:eastAsia="zh-CN"/>
              </w:rPr>
            </w:pPr>
            <w:r>
              <w:rPr>
                <w:rFonts w:hint="eastAsia" w:ascii="宋体"/>
                <w:sz w:val="24"/>
                <w:lang w:val="en-US" w:eastAsia="zh-CN"/>
              </w:rPr>
              <w:t>答：尊敬的投资者，您好。</w:t>
            </w:r>
          </w:p>
          <w:p w14:paraId="75767AAF">
            <w:pPr>
              <w:spacing w:line="360" w:lineRule="auto"/>
              <w:ind w:firstLine="480" w:firstLineChars="200"/>
              <w:rPr>
                <w:rFonts w:hint="eastAsia" w:ascii="宋体"/>
                <w:sz w:val="24"/>
                <w:lang w:val="en-US" w:eastAsia="zh-CN"/>
              </w:rPr>
            </w:pPr>
            <w:r>
              <w:rPr>
                <w:rFonts w:hint="eastAsia" w:ascii="宋体"/>
                <w:sz w:val="24"/>
                <w:lang w:val="en-US" w:eastAsia="zh-CN"/>
              </w:rPr>
              <w:t>作为重要的战略发展方向，公司高度关注卫星互联网产业的安全需求与发展机遇，通过战略投资微纳星空、星展测控，形成资本与产业协同。微纳星空专注小卫星研发制造，契合低轨星座化趋势；星展测控提供动中通设备和无人机系统，拓展低空经济与应急场景。公司凭借在卫星通信领域与网络安全领域的技术优势，可与微纳星空、星展测控进行优势互补，助力公司构建“制造—设备—安全”的全产业链布局，完善空天地一体化安全防护体系，推动卫星互联网安全业务快速发展。</w:t>
            </w:r>
          </w:p>
          <w:p w14:paraId="28B6F066">
            <w:pPr>
              <w:spacing w:line="360" w:lineRule="auto"/>
              <w:ind w:firstLine="480" w:firstLineChars="200"/>
              <w:rPr>
                <w:rFonts w:hint="eastAsia" w:ascii="宋体"/>
                <w:sz w:val="24"/>
                <w:lang w:val="en-US" w:eastAsia="zh-CN"/>
              </w:rPr>
            </w:pPr>
            <w:r>
              <w:rPr>
                <w:rFonts w:hint="eastAsia" w:ascii="宋体"/>
                <w:sz w:val="24"/>
                <w:lang w:val="en-US" w:eastAsia="zh-CN"/>
              </w:rPr>
              <w:t>感谢您的关注与支持！</w:t>
            </w:r>
          </w:p>
          <w:p w14:paraId="15CFF255">
            <w:pPr>
              <w:spacing w:line="360" w:lineRule="auto"/>
              <w:ind w:firstLine="480" w:firstLineChars="200"/>
              <w:rPr>
                <w:rFonts w:hint="default" w:ascii="宋体"/>
                <w:sz w:val="24"/>
                <w:lang w:val="en-US" w:eastAsia="zh-CN"/>
              </w:rPr>
            </w:pPr>
          </w:p>
          <w:p w14:paraId="7D802274">
            <w:pPr>
              <w:spacing w:line="360" w:lineRule="auto"/>
              <w:rPr>
                <w:rFonts w:hint="eastAsia" w:ascii="宋体"/>
                <w:b/>
                <w:bCs/>
                <w:sz w:val="24"/>
                <w:lang w:val="en-US" w:eastAsia="zh-CN"/>
              </w:rPr>
            </w:pPr>
            <w:r>
              <w:rPr>
                <w:rFonts w:hint="eastAsia" w:ascii="宋体"/>
                <w:b/>
                <w:bCs/>
                <w:sz w:val="24"/>
                <w:lang w:val="en-US" w:eastAsia="zh-CN"/>
              </w:rPr>
              <w:t>5、公司在商业航天领域未来的发展方向是什么？</w:t>
            </w:r>
          </w:p>
          <w:p w14:paraId="4BB3CF50">
            <w:pPr>
              <w:spacing w:line="360" w:lineRule="auto"/>
              <w:rPr>
                <w:rFonts w:hint="eastAsia" w:ascii="宋体"/>
                <w:sz w:val="24"/>
                <w:lang w:val="en-US" w:eastAsia="zh-CN"/>
              </w:rPr>
            </w:pPr>
            <w:r>
              <w:rPr>
                <w:rFonts w:hint="eastAsia" w:ascii="宋体"/>
                <w:sz w:val="24"/>
                <w:lang w:val="en-US" w:eastAsia="zh-CN"/>
              </w:rPr>
              <w:t>答：尊进的投资者，您好。</w:t>
            </w:r>
          </w:p>
          <w:p w14:paraId="78491BE0">
            <w:pPr>
              <w:spacing w:line="360" w:lineRule="auto"/>
              <w:ind w:firstLine="480" w:firstLineChars="200"/>
              <w:rPr>
                <w:rFonts w:hint="eastAsia" w:ascii="宋体"/>
                <w:sz w:val="24"/>
                <w:lang w:val="en-US" w:eastAsia="zh-CN"/>
              </w:rPr>
            </w:pPr>
            <w:r>
              <w:rPr>
                <w:rFonts w:hint="eastAsia" w:ascii="宋体"/>
                <w:sz w:val="24"/>
                <w:lang w:val="en-US" w:eastAsia="zh-CN"/>
              </w:rPr>
              <w:t>公司将抓住商业航天规模化组网带来爆发性的行业趋势，在技术研发方面，聚焦卫星全链路安全痛点，继续精进核心技术，构建卫星全周期安全技术体系；在生态布局方面，公司将持续深化与微纳星空、星展测控等伙伴的产业合作，不排除通过投资或收购的形式继续完善公司的卫星互联网产业布局，同时积极联动行业龙头参与标准制定，筑牢产业护城河；在场景拓展方面，公司抢抓低空经济、深海科技、乡村振兴机遇，推进星载安全载荷交付与终端加密模块批量落地，瞄准卫星互联网的百亿级市场与终端的产品刚需，释放业绩弹性，以技术为核、生态为翼、场景为锚，护航商业航天高质量安全发展。</w:t>
            </w:r>
          </w:p>
          <w:p w14:paraId="26C7F5A3">
            <w:pPr>
              <w:spacing w:line="360" w:lineRule="auto"/>
              <w:ind w:firstLine="480" w:firstLineChars="200"/>
              <w:rPr>
                <w:rFonts w:hint="default" w:ascii="宋体"/>
                <w:sz w:val="24"/>
                <w:lang w:val="en-US" w:eastAsia="zh-CN"/>
              </w:rPr>
            </w:pPr>
            <w:r>
              <w:rPr>
                <w:rFonts w:hint="eastAsia" w:ascii="宋体"/>
                <w:sz w:val="24"/>
                <w:lang w:val="en-US" w:eastAsia="zh-CN"/>
              </w:rPr>
              <w:t>感谢您的关注与支持！</w:t>
            </w:r>
          </w:p>
          <w:p w14:paraId="30B379BA">
            <w:pPr>
              <w:pStyle w:val="13"/>
              <w:widowControl/>
              <w:autoSpaceDE/>
              <w:autoSpaceDN/>
              <w:adjustRightInd/>
              <w:spacing w:after="156" w:afterLines="50" w:line="360" w:lineRule="auto"/>
              <w:rPr>
                <w:rFonts w:hint="default" w:asciiTheme="minorEastAsia" w:hAnsiTheme="minorEastAsia" w:eastAsiaTheme="minorEastAsia"/>
                <w:bCs/>
                <w:lang w:val="en-US" w:eastAsia="zh-CN"/>
              </w:rPr>
            </w:pPr>
          </w:p>
        </w:tc>
      </w:tr>
      <w:tr w14:paraId="3831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1F18ADBA">
            <w:pPr>
              <w:spacing w:line="360" w:lineRule="auto"/>
              <w:jc w:val="center"/>
              <w:rPr>
                <w:rFonts w:hint="eastAsia" w:asciiTheme="minorEastAsia" w:hAnsiTheme="minorEastAsia"/>
                <w:bCs/>
                <w:iCs/>
                <w:color w:val="000000"/>
                <w:sz w:val="24"/>
              </w:rPr>
            </w:pPr>
            <w:r>
              <w:rPr>
                <w:rFonts w:asciiTheme="minorEastAsia" w:hAnsiTheme="minorEastAsia"/>
                <w:bCs/>
                <w:iCs/>
                <w:color w:val="000000"/>
                <w:sz w:val="24"/>
              </w:rPr>
              <w:t>附件清单（如有）</w:t>
            </w:r>
          </w:p>
        </w:tc>
        <w:tc>
          <w:tcPr>
            <w:tcW w:w="6558" w:type="dxa"/>
            <w:tcBorders>
              <w:top w:val="single" w:color="auto" w:sz="4" w:space="0"/>
              <w:left w:val="single" w:color="auto" w:sz="4" w:space="0"/>
              <w:bottom w:val="single" w:color="auto" w:sz="4" w:space="0"/>
              <w:right w:val="single" w:color="auto" w:sz="4" w:space="0"/>
            </w:tcBorders>
            <w:vAlign w:val="center"/>
          </w:tcPr>
          <w:p w14:paraId="10CD89F2">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无</w:t>
            </w:r>
          </w:p>
        </w:tc>
      </w:tr>
      <w:tr w14:paraId="7AB2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689648AB">
            <w:pPr>
              <w:spacing w:line="360"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日期</w:t>
            </w:r>
          </w:p>
        </w:tc>
        <w:tc>
          <w:tcPr>
            <w:tcW w:w="6558" w:type="dxa"/>
            <w:tcBorders>
              <w:top w:val="single" w:color="auto" w:sz="4" w:space="0"/>
              <w:left w:val="single" w:color="auto" w:sz="4" w:space="0"/>
              <w:bottom w:val="single" w:color="auto" w:sz="4" w:space="0"/>
              <w:right w:val="single" w:color="auto" w:sz="4" w:space="0"/>
            </w:tcBorders>
            <w:vAlign w:val="center"/>
          </w:tcPr>
          <w:p w14:paraId="686EB8BC">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2</w:t>
            </w:r>
            <w:r>
              <w:rPr>
                <w:rFonts w:asciiTheme="minorEastAsia" w:hAnsiTheme="minorEastAsia"/>
                <w:bCs/>
                <w:iCs/>
                <w:color w:val="000000"/>
                <w:sz w:val="24"/>
              </w:rPr>
              <w:t>025</w:t>
            </w:r>
            <w:r>
              <w:rPr>
                <w:rFonts w:hint="eastAsia" w:asciiTheme="minorEastAsia" w:hAnsiTheme="minorEastAsia"/>
                <w:bCs/>
                <w:iCs/>
                <w:color w:val="000000"/>
                <w:sz w:val="24"/>
              </w:rPr>
              <w:t>年</w:t>
            </w:r>
            <w:r>
              <w:rPr>
                <w:rFonts w:hint="eastAsia" w:asciiTheme="minorEastAsia" w:hAnsiTheme="minorEastAsia"/>
                <w:bCs/>
                <w:iCs/>
                <w:color w:val="000000"/>
                <w:sz w:val="24"/>
                <w:lang w:val="en-US" w:eastAsia="zh-CN"/>
              </w:rPr>
              <w:t>12</w:t>
            </w:r>
            <w:r>
              <w:rPr>
                <w:rFonts w:hint="eastAsia" w:asciiTheme="minorEastAsia" w:hAnsiTheme="minorEastAsia"/>
                <w:bCs/>
                <w:iCs/>
                <w:color w:val="000000"/>
                <w:sz w:val="24"/>
              </w:rPr>
              <w:t>月</w:t>
            </w:r>
            <w:r>
              <w:rPr>
                <w:rFonts w:hint="eastAsia" w:asciiTheme="minorEastAsia" w:hAnsiTheme="minorEastAsia"/>
                <w:bCs/>
                <w:iCs/>
                <w:color w:val="000000"/>
                <w:sz w:val="24"/>
                <w:lang w:val="en-US" w:eastAsia="zh-CN"/>
              </w:rPr>
              <w:t>17</w:t>
            </w:r>
            <w:r>
              <w:rPr>
                <w:rFonts w:hint="eastAsia" w:asciiTheme="minorEastAsia" w:hAnsiTheme="minorEastAsia"/>
                <w:bCs/>
                <w:iCs/>
                <w:color w:val="000000"/>
                <w:sz w:val="24"/>
              </w:rPr>
              <w:t>日</w:t>
            </w:r>
          </w:p>
        </w:tc>
      </w:tr>
    </w:tbl>
    <w:p w14:paraId="1A6C13C9">
      <w:pPr>
        <w:rPr>
          <w:rFonts w:hint="eastAsia" w:ascii="宋体" w:hAnsi="宋体"/>
          <w:bCs/>
          <w:i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NmIwOGE4ODAyNzczZjNjZjg0MTkyMzYwYjZhZTgifQ=="/>
  </w:docVars>
  <w:rsids>
    <w:rsidRoot w:val="372D2BC1"/>
    <w:rsid w:val="00001ED6"/>
    <w:rsid w:val="00012AB6"/>
    <w:rsid w:val="000161CA"/>
    <w:rsid w:val="000258EE"/>
    <w:rsid w:val="00027274"/>
    <w:rsid w:val="00045DD1"/>
    <w:rsid w:val="00062014"/>
    <w:rsid w:val="00071260"/>
    <w:rsid w:val="000A5718"/>
    <w:rsid w:val="000C7881"/>
    <w:rsid w:val="000D7999"/>
    <w:rsid w:val="000E4703"/>
    <w:rsid w:val="0010700B"/>
    <w:rsid w:val="00127D74"/>
    <w:rsid w:val="00141270"/>
    <w:rsid w:val="00147ACA"/>
    <w:rsid w:val="00187C86"/>
    <w:rsid w:val="001A285D"/>
    <w:rsid w:val="001E594F"/>
    <w:rsid w:val="001E5956"/>
    <w:rsid w:val="001F27AC"/>
    <w:rsid w:val="002012F3"/>
    <w:rsid w:val="00213C2F"/>
    <w:rsid w:val="00224AA7"/>
    <w:rsid w:val="0024755D"/>
    <w:rsid w:val="0027381C"/>
    <w:rsid w:val="00275BDE"/>
    <w:rsid w:val="002957BD"/>
    <w:rsid w:val="002B39AC"/>
    <w:rsid w:val="002D4462"/>
    <w:rsid w:val="00324BBE"/>
    <w:rsid w:val="00334BEE"/>
    <w:rsid w:val="0033589E"/>
    <w:rsid w:val="003515A4"/>
    <w:rsid w:val="003565D1"/>
    <w:rsid w:val="00376F9D"/>
    <w:rsid w:val="00393963"/>
    <w:rsid w:val="003A178C"/>
    <w:rsid w:val="003A2032"/>
    <w:rsid w:val="003A2128"/>
    <w:rsid w:val="003A3416"/>
    <w:rsid w:val="003B7B42"/>
    <w:rsid w:val="003E2C17"/>
    <w:rsid w:val="003E54EC"/>
    <w:rsid w:val="003F63A0"/>
    <w:rsid w:val="00467CC5"/>
    <w:rsid w:val="004831A6"/>
    <w:rsid w:val="00487241"/>
    <w:rsid w:val="004C2C84"/>
    <w:rsid w:val="004E7FE5"/>
    <w:rsid w:val="005172D7"/>
    <w:rsid w:val="00524415"/>
    <w:rsid w:val="005665EB"/>
    <w:rsid w:val="00593EE8"/>
    <w:rsid w:val="005C3B8A"/>
    <w:rsid w:val="005D2C55"/>
    <w:rsid w:val="005F2386"/>
    <w:rsid w:val="006604EF"/>
    <w:rsid w:val="006D5440"/>
    <w:rsid w:val="006D7CFC"/>
    <w:rsid w:val="006E7FDD"/>
    <w:rsid w:val="00704A4F"/>
    <w:rsid w:val="00737D54"/>
    <w:rsid w:val="007A61FF"/>
    <w:rsid w:val="007B6FDB"/>
    <w:rsid w:val="007D15FB"/>
    <w:rsid w:val="007D64F2"/>
    <w:rsid w:val="007E300E"/>
    <w:rsid w:val="007F186C"/>
    <w:rsid w:val="007F1D94"/>
    <w:rsid w:val="008048EB"/>
    <w:rsid w:val="0082017E"/>
    <w:rsid w:val="0088250D"/>
    <w:rsid w:val="00882BBF"/>
    <w:rsid w:val="00906C21"/>
    <w:rsid w:val="00922A37"/>
    <w:rsid w:val="00991B0D"/>
    <w:rsid w:val="009A5206"/>
    <w:rsid w:val="009B2336"/>
    <w:rsid w:val="009C1489"/>
    <w:rsid w:val="00A46702"/>
    <w:rsid w:val="00A548B2"/>
    <w:rsid w:val="00A66434"/>
    <w:rsid w:val="00A71D14"/>
    <w:rsid w:val="00AA4C23"/>
    <w:rsid w:val="00AB2959"/>
    <w:rsid w:val="00AB7D16"/>
    <w:rsid w:val="00AE3199"/>
    <w:rsid w:val="00B150CD"/>
    <w:rsid w:val="00B455CA"/>
    <w:rsid w:val="00B6649B"/>
    <w:rsid w:val="00BC6B58"/>
    <w:rsid w:val="00BD3F33"/>
    <w:rsid w:val="00BE1953"/>
    <w:rsid w:val="00BE7AD5"/>
    <w:rsid w:val="00BF0D55"/>
    <w:rsid w:val="00BF2263"/>
    <w:rsid w:val="00C1024A"/>
    <w:rsid w:val="00C561FE"/>
    <w:rsid w:val="00C57A77"/>
    <w:rsid w:val="00C67BB7"/>
    <w:rsid w:val="00C721A7"/>
    <w:rsid w:val="00CE22BA"/>
    <w:rsid w:val="00D567CE"/>
    <w:rsid w:val="00D56CEB"/>
    <w:rsid w:val="00D64893"/>
    <w:rsid w:val="00D82D60"/>
    <w:rsid w:val="00DA57E8"/>
    <w:rsid w:val="00DD4A86"/>
    <w:rsid w:val="00DD5626"/>
    <w:rsid w:val="00DE0700"/>
    <w:rsid w:val="00E40E16"/>
    <w:rsid w:val="00E62AEA"/>
    <w:rsid w:val="00E748C3"/>
    <w:rsid w:val="00E840FC"/>
    <w:rsid w:val="00EC4774"/>
    <w:rsid w:val="00EE2112"/>
    <w:rsid w:val="00EF172B"/>
    <w:rsid w:val="00EF5DC7"/>
    <w:rsid w:val="00EF6EC6"/>
    <w:rsid w:val="00F10BFD"/>
    <w:rsid w:val="00F14914"/>
    <w:rsid w:val="00F22D57"/>
    <w:rsid w:val="00F548FE"/>
    <w:rsid w:val="00F6579A"/>
    <w:rsid w:val="00F71DBE"/>
    <w:rsid w:val="00FB3997"/>
    <w:rsid w:val="00FC2758"/>
    <w:rsid w:val="00FC3508"/>
    <w:rsid w:val="00FE047D"/>
    <w:rsid w:val="02C75BAB"/>
    <w:rsid w:val="06FC27B5"/>
    <w:rsid w:val="0B84338B"/>
    <w:rsid w:val="0C187ED3"/>
    <w:rsid w:val="0DF12A6A"/>
    <w:rsid w:val="0E19309F"/>
    <w:rsid w:val="0F3208F8"/>
    <w:rsid w:val="0FA638D0"/>
    <w:rsid w:val="11301209"/>
    <w:rsid w:val="12174B86"/>
    <w:rsid w:val="14460456"/>
    <w:rsid w:val="14930302"/>
    <w:rsid w:val="149E0ABD"/>
    <w:rsid w:val="16043C72"/>
    <w:rsid w:val="184E0FA9"/>
    <w:rsid w:val="18E611E1"/>
    <w:rsid w:val="198A7DBF"/>
    <w:rsid w:val="1D1335C4"/>
    <w:rsid w:val="1EBC2277"/>
    <w:rsid w:val="2070232D"/>
    <w:rsid w:val="20B85357"/>
    <w:rsid w:val="22066450"/>
    <w:rsid w:val="2256321D"/>
    <w:rsid w:val="22AC79CD"/>
    <w:rsid w:val="22D56A14"/>
    <w:rsid w:val="28CB2B2E"/>
    <w:rsid w:val="29312CED"/>
    <w:rsid w:val="29A30860"/>
    <w:rsid w:val="2A005E7B"/>
    <w:rsid w:val="2CB962A5"/>
    <w:rsid w:val="2D052EDE"/>
    <w:rsid w:val="2D331D0D"/>
    <w:rsid w:val="2D524C40"/>
    <w:rsid w:val="2EFA558F"/>
    <w:rsid w:val="2F67492B"/>
    <w:rsid w:val="367D43C0"/>
    <w:rsid w:val="372D2BC1"/>
    <w:rsid w:val="37746B2F"/>
    <w:rsid w:val="37E52224"/>
    <w:rsid w:val="39343BEA"/>
    <w:rsid w:val="3B807F36"/>
    <w:rsid w:val="3F5C616D"/>
    <w:rsid w:val="3F7153F9"/>
    <w:rsid w:val="47F12E1A"/>
    <w:rsid w:val="48403BBB"/>
    <w:rsid w:val="4B683330"/>
    <w:rsid w:val="4C303F46"/>
    <w:rsid w:val="5221680B"/>
    <w:rsid w:val="53990623"/>
    <w:rsid w:val="5A1F7FAB"/>
    <w:rsid w:val="5AD36B10"/>
    <w:rsid w:val="5C700ABB"/>
    <w:rsid w:val="5CCC3817"/>
    <w:rsid w:val="5F5521EA"/>
    <w:rsid w:val="60603BC1"/>
    <w:rsid w:val="61D4389A"/>
    <w:rsid w:val="64525FEF"/>
    <w:rsid w:val="65507A25"/>
    <w:rsid w:val="662D70C4"/>
    <w:rsid w:val="67BA0B35"/>
    <w:rsid w:val="6869276B"/>
    <w:rsid w:val="68D47E6E"/>
    <w:rsid w:val="6B45709F"/>
    <w:rsid w:val="6F8A5598"/>
    <w:rsid w:val="72434C03"/>
    <w:rsid w:val="777439DD"/>
    <w:rsid w:val="77A94A29"/>
    <w:rsid w:val="78C46E0E"/>
    <w:rsid w:val="79C1406B"/>
    <w:rsid w:val="7F051474"/>
    <w:rsid w:val="7F563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0"/>
    <w:pPr>
      <w:jc w:val="left"/>
    </w:pPr>
  </w:style>
  <w:style w:type="paragraph" w:styleId="3">
    <w:name w:val="Balloon Text"/>
    <w:basedOn w:val="1"/>
    <w:link w:val="19"/>
    <w:semiHidden/>
    <w:unhideWhenUsed/>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annotation subject"/>
    <w:basedOn w:val="2"/>
    <w:next w:val="2"/>
    <w:link w:val="18"/>
    <w:semiHidden/>
    <w:unhideWhenUsed/>
    <w:qFormat/>
    <w:uiPriority w:val="0"/>
    <w:rPr>
      <w:b/>
      <w:bCs/>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unhideWhenUsed/>
    <w:qFormat/>
    <w:uiPriority w:val="99"/>
    <w:rPr>
      <w:color w:val="0563C1"/>
      <w:u w:val="single"/>
    </w:rPr>
  </w:style>
  <w:style w:type="character" w:styleId="12">
    <w:name w:val="annotation reference"/>
    <w:basedOn w:val="10"/>
    <w:semiHidden/>
    <w:unhideWhenUsed/>
    <w:qFormat/>
    <w:uiPriority w:val="0"/>
    <w:rPr>
      <w:sz w:val="21"/>
      <w:szCs w:val="21"/>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4">
    <w:name w:val="页眉 字符"/>
    <w:basedOn w:val="10"/>
    <w:link w:val="5"/>
    <w:qFormat/>
    <w:uiPriority w:val="99"/>
    <w:rPr>
      <w:kern w:val="2"/>
      <w:sz w:val="18"/>
      <w:szCs w:val="18"/>
    </w:rPr>
  </w:style>
  <w:style w:type="character" w:customStyle="1" w:styleId="15">
    <w:name w:val="页脚 字符"/>
    <w:basedOn w:val="10"/>
    <w:link w:val="4"/>
    <w:qFormat/>
    <w:uiPriority w:val="0"/>
    <w:rPr>
      <w:kern w:val="2"/>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0"/>
    <w:link w:val="2"/>
    <w:semiHidden/>
    <w:qFormat/>
    <w:uiPriority w:val="0"/>
    <w:rPr>
      <w:kern w:val="2"/>
      <w:sz w:val="21"/>
      <w:szCs w:val="22"/>
    </w:rPr>
  </w:style>
  <w:style w:type="character" w:customStyle="1" w:styleId="18">
    <w:name w:val="批注主题 字符"/>
    <w:basedOn w:val="17"/>
    <w:link w:val="7"/>
    <w:semiHidden/>
    <w:qFormat/>
    <w:uiPriority w:val="0"/>
    <w:rPr>
      <w:b/>
      <w:bCs/>
      <w:kern w:val="2"/>
      <w:sz w:val="21"/>
      <w:szCs w:val="22"/>
    </w:rPr>
  </w:style>
  <w:style w:type="character" w:customStyle="1" w:styleId="19">
    <w:name w:val="批注框文本 字符"/>
    <w:basedOn w:val="10"/>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66FAA-76B5-4FE0-A2CA-3ECBAA5238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1924</Words>
  <Characters>1963</Characters>
  <Lines>14</Lines>
  <Paragraphs>3</Paragraphs>
  <TotalTime>15</TotalTime>
  <ScaleCrop>false</ScaleCrop>
  <LinksUpToDate>false</LinksUpToDate>
  <CharactersWithSpaces>2048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2024-05-20T02:49:00Z</dcterms:created>
  <dc:creator>Lilac1425803577</dc:creator>
  <cp:lastModifiedBy>董怡君</cp:lastModifiedBy>
  <dcterms:modified xsi:type="dcterms:W3CDTF">2025-12-17T10:35:36Z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01C3FF56BA3B42DF82DBBAFF6BE880D2_13</vt:lpwstr>
  </property>
  <property fmtid="{D5CDD505-2E9C-101B-9397-08002B2CF9AE}" pid="4" name="KSOTemplateDocerSaveRecord">
    <vt:lpwstr>eyJoZGlkIjoiN2U2MDFjOGU2N2Y0OWQ1NzY0ZTBkNzY3NWFkNTBlMTUiLCJ1c2VySWQiOiIzNjk3NDExMjYifQ==</vt:lpwstr>
  </property>
</Properties>
</file>