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DD791">
      <w:pPr>
        <w:ind w:firstLine="120" w:firstLineChars="50"/>
        <w:rPr>
          <w:rFonts w:ascii="宋体" w:hAnsi="宋体"/>
          <w:b/>
          <w:bCs/>
          <w:iCs/>
          <w:color w:val="000000"/>
        </w:rPr>
      </w:pPr>
      <w:r>
        <w:rPr>
          <w:bCs/>
          <w:iCs/>
          <w:color w:val="000000"/>
        </w:rPr>
        <w:t>证券代码：</w:t>
      </w:r>
      <w:r>
        <w:rPr>
          <w:rFonts w:hint="eastAsia"/>
          <w:bCs/>
          <w:iCs/>
          <w:color w:val="000000"/>
        </w:rPr>
        <w:t>6</w:t>
      </w:r>
      <w:r>
        <w:rPr>
          <w:bCs/>
          <w:iCs/>
          <w:color w:val="000000"/>
        </w:rPr>
        <w:t>88709                                            证券简称：</w:t>
      </w:r>
      <w:r>
        <w:rPr>
          <w:rFonts w:hint="eastAsia"/>
          <w:bCs/>
          <w:iCs/>
          <w:color w:val="000000"/>
        </w:rPr>
        <w:t>成都华微</w:t>
      </w:r>
    </w:p>
    <w:p w14:paraId="4C93419B">
      <w:pPr>
        <w:spacing w:before="163" w:beforeLines="50"/>
        <w:ind w:firstLine="0" w:firstLineChars="0"/>
        <w:jc w:val="center"/>
        <w:rPr>
          <w:rFonts w:ascii="黑体" w:hAnsi="黑体" w:eastAsia="黑体"/>
          <w:bCs/>
          <w:iCs/>
          <w:color w:val="000000"/>
          <w:sz w:val="32"/>
          <w:szCs w:val="32"/>
        </w:rPr>
      </w:pPr>
      <w:r>
        <w:rPr>
          <w:rFonts w:hint="eastAsia" w:ascii="黑体" w:hAnsi="黑体" w:eastAsia="黑体"/>
          <w:bCs/>
          <w:iCs/>
          <w:color w:val="000000"/>
          <w:sz w:val="32"/>
          <w:szCs w:val="32"/>
        </w:rPr>
        <w:t>成都华微电子科技股份有限公司</w:t>
      </w:r>
    </w:p>
    <w:p w14:paraId="371C0AEC">
      <w:pPr>
        <w:spacing w:after="163" w:afterLines="50"/>
        <w:ind w:firstLine="0" w:firstLineChars="0"/>
        <w:jc w:val="center"/>
        <w:rPr>
          <w:rFonts w:ascii="黑体" w:hAnsi="黑体" w:eastAsia="黑体"/>
          <w:bCs/>
          <w:iCs/>
          <w:color w:val="000000"/>
          <w:sz w:val="32"/>
          <w:szCs w:val="32"/>
        </w:rPr>
      </w:pPr>
      <w:r>
        <w:rPr>
          <w:rFonts w:hint="eastAsia" w:ascii="黑体" w:hAnsi="黑体" w:eastAsia="黑体"/>
          <w:bCs/>
          <w:iCs/>
          <w:color w:val="000000"/>
          <w:sz w:val="32"/>
          <w:szCs w:val="32"/>
        </w:rPr>
        <w:t>投资者关系活动记录表</w:t>
      </w:r>
    </w:p>
    <w:p w14:paraId="623A1B9D">
      <w:pPr>
        <w:spacing w:line="400" w:lineRule="exact"/>
        <w:ind w:firstLine="480"/>
        <w:rPr>
          <w:rFonts w:ascii="宋体" w:hAnsi="宋体"/>
          <w:bCs/>
          <w:iCs/>
          <w:color w:val="000000"/>
        </w:rPr>
      </w:pPr>
      <w:r>
        <w:rPr>
          <w:rFonts w:hint="eastAsia" w:ascii="宋体" w:hAnsi="宋体"/>
          <w:bCs/>
          <w:iCs/>
          <w:color w:val="000000"/>
        </w:rPr>
        <w:t xml:space="preserve">                                                         编号：2</w:t>
      </w:r>
      <w:r>
        <w:rPr>
          <w:rFonts w:ascii="宋体" w:hAnsi="宋体"/>
          <w:bCs/>
          <w:iCs/>
          <w:color w:val="000000"/>
        </w:rPr>
        <w:t>02</w:t>
      </w:r>
      <w:r>
        <w:rPr>
          <w:rFonts w:hint="eastAsia" w:ascii="宋体" w:hAnsi="宋体"/>
          <w:bCs/>
          <w:iCs/>
          <w:color w:val="000000"/>
        </w:rPr>
        <w:t>5</w:t>
      </w:r>
      <w:r>
        <w:rPr>
          <w:rFonts w:ascii="宋体" w:hAnsi="宋体"/>
          <w:bCs/>
          <w:iCs/>
          <w:color w:val="000000"/>
        </w:rPr>
        <w:t>-00</w:t>
      </w:r>
      <w:r>
        <w:rPr>
          <w:rFonts w:hint="eastAsia" w:ascii="宋体" w:hAnsi="宋体"/>
          <w:bCs/>
          <w:iCs/>
          <w:color w:val="000000"/>
        </w:rPr>
        <w:t>6</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585"/>
      </w:tblGrid>
      <w:tr w14:paraId="76E9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193852E5">
            <w:pPr>
              <w:ind w:firstLine="0" w:firstLineChars="0"/>
              <w:rPr>
                <w:rFonts w:ascii="宋体" w:hAnsi="宋体"/>
                <w:bCs/>
                <w:iCs/>
                <w:color w:val="000000"/>
              </w:rPr>
            </w:pPr>
            <w:r>
              <w:rPr>
                <w:rFonts w:hint="eastAsia" w:ascii="宋体" w:hAnsi="宋体"/>
                <w:bCs/>
                <w:iCs/>
                <w:color w:val="000000"/>
              </w:rPr>
              <w:t>投资者关系活动类别</w:t>
            </w:r>
          </w:p>
          <w:p w14:paraId="4D2614B6">
            <w:pPr>
              <w:ind w:firstLine="0" w:firstLineChars="0"/>
              <w:rPr>
                <w:rFonts w:ascii="宋体" w:hAnsi="宋体"/>
                <w:bCs/>
                <w:iCs/>
                <w:color w:val="000000"/>
              </w:rPr>
            </w:pPr>
          </w:p>
        </w:tc>
        <w:tc>
          <w:tcPr>
            <w:tcW w:w="7585" w:type="dxa"/>
            <w:tcBorders>
              <w:top w:val="single" w:color="auto" w:sz="4" w:space="0"/>
              <w:left w:val="single" w:color="auto" w:sz="4" w:space="0"/>
              <w:bottom w:val="single" w:color="auto" w:sz="4" w:space="0"/>
              <w:right w:val="single" w:color="auto" w:sz="4" w:space="0"/>
            </w:tcBorders>
          </w:tcPr>
          <w:p w14:paraId="171AB276">
            <w:pPr>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 xml:space="preserve">特定对象调研    </w:t>
            </w:r>
            <w:r>
              <w:rPr>
                <w:rFonts w:ascii="宋体" w:hAnsi="宋体"/>
              </w:rPr>
              <w:t xml:space="preserve">      </w:t>
            </w:r>
            <w:r>
              <w:rPr>
                <w:rFonts w:hint="eastAsia" w:ascii="宋体" w:hAnsi="宋体"/>
              </w:rPr>
              <w:t xml:space="preserve">    </w:t>
            </w:r>
            <w:r>
              <w:rPr>
                <w:rFonts w:hint="eastAsia" w:ascii="宋体" w:hAnsi="宋体"/>
                <w:bCs/>
                <w:iCs/>
                <w:color w:val="000000"/>
              </w:rPr>
              <w:t>□</w:t>
            </w:r>
            <w:r>
              <w:rPr>
                <w:rFonts w:hint="eastAsia" w:ascii="宋体" w:hAnsi="宋体"/>
              </w:rPr>
              <w:t>分析师会议</w:t>
            </w:r>
          </w:p>
          <w:p w14:paraId="0D098255">
            <w:pPr>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 xml:space="preserve">媒体采访        </w:t>
            </w:r>
            <w:r>
              <w:rPr>
                <w:rFonts w:ascii="宋体" w:hAnsi="宋体"/>
              </w:rPr>
              <w:t xml:space="preserve">      </w:t>
            </w:r>
            <w:r>
              <w:rPr>
                <w:rFonts w:hint="eastAsia" w:ascii="宋体" w:hAnsi="宋体"/>
              </w:rPr>
              <w:t xml:space="preserve">    </w:t>
            </w:r>
            <w:r>
              <w:rPr>
                <w:rFonts w:hint="eastAsia" w:ascii="宋体" w:hAnsi="宋体"/>
                <w:bCs/>
                <w:iCs/>
                <w:color w:val="000000"/>
              </w:rPr>
              <w:t>□</w:t>
            </w:r>
            <w:r>
              <w:rPr>
                <w:rFonts w:hint="eastAsia" w:ascii="宋体" w:hAnsi="宋体"/>
              </w:rPr>
              <w:t>业绩说明会</w:t>
            </w:r>
          </w:p>
          <w:p w14:paraId="10C16A80">
            <w:pPr>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 xml:space="preserve">新闻发布会        </w:t>
            </w:r>
            <w:r>
              <w:rPr>
                <w:rFonts w:ascii="宋体" w:hAnsi="宋体"/>
              </w:rPr>
              <w:t xml:space="preserve">      </w:t>
            </w:r>
            <w:r>
              <w:rPr>
                <w:rFonts w:hint="eastAsia" w:ascii="宋体" w:hAnsi="宋体"/>
              </w:rPr>
              <w:t xml:space="preserve">  </w:t>
            </w:r>
            <w:r>
              <w:rPr>
                <w:rFonts w:hint="eastAsia" w:ascii="宋体" w:hAnsi="宋体"/>
                <w:bCs/>
                <w:iCs/>
                <w:color w:val="000000"/>
              </w:rPr>
              <w:t>□</w:t>
            </w:r>
            <w:r>
              <w:rPr>
                <w:rFonts w:hint="eastAsia" w:ascii="宋体" w:hAnsi="宋体"/>
              </w:rPr>
              <w:t>路演活动</w:t>
            </w:r>
          </w:p>
          <w:p w14:paraId="0483DDEB">
            <w:pPr>
              <w:tabs>
                <w:tab w:val="left" w:pos="3045"/>
                <w:tab w:val="center" w:pos="3199"/>
              </w:tabs>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现场参观</w:t>
            </w:r>
            <w:r>
              <w:rPr>
                <w:rFonts w:hint="eastAsia" w:ascii="宋体" w:hAnsi="宋体"/>
                <w:bCs/>
                <w:iCs/>
                <w:color w:val="000000"/>
              </w:rPr>
              <w:tab/>
            </w:r>
          </w:p>
          <w:p w14:paraId="2B80877C">
            <w:pPr>
              <w:tabs>
                <w:tab w:val="center" w:pos="3199"/>
              </w:tabs>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其他 （</w:t>
            </w:r>
            <w:r>
              <w:rPr>
                <w:rFonts w:hint="eastAsia" w:ascii="宋体" w:hAnsi="宋体"/>
                <w:u w:val="single"/>
              </w:rPr>
              <w:t>请文字说明其他活动内容）</w:t>
            </w:r>
          </w:p>
        </w:tc>
      </w:tr>
      <w:tr w14:paraId="72B5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3D1A9F43">
            <w:pPr>
              <w:ind w:firstLine="0" w:firstLineChars="0"/>
              <w:rPr>
                <w:rFonts w:ascii="宋体" w:hAnsi="宋体"/>
                <w:bCs/>
                <w:iCs/>
                <w:color w:val="000000"/>
              </w:rPr>
            </w:pPr>
            <w:r>
              <w:rPr>
                <w:rFonts w:hint="eastAsia" w:ascii="宋体" w:hAnsi="宋体"/>
                <w:bCs/>
                <w:iCs/>
                <w:color w:val="000000"/>
              </w:rPr>
              <w:t>参与单位名称及人员姓名</w:t>
            </w:r>
          </w:p>
        </w:tc>
        <w:tc>
          <w:tcPr>
            <w:tcW w:w="7585" w:type="dxa"/>
            <w:tcBorders>
              <w:top w:val="single" w:color="auto" w:sz="4" w:space="0"/>
              <w:left w:val="single" w:color="auto" w:sz="4" w:space="0"/>
              <w:bottom w:val="single" w:color="auto" w:sz="4" w:space="0"/>
              <w:right w:val="single" w:color="auto" w:sz="4" w:space="0"/>
            </w:tcBorders>
            <w:vAlign w:val="center"/>
          </w:tcPr>
          <w:p w14:paraId="336D3395">
            <w:pPr>
              <w:spacing w:line="480" w:lineRule="atLeast"/>
              <w:ind w:firstLine="0" w:firstLineChars="0"/>
              <w:rPr>
                <w:rFonts w:ascii="宋体" w:hAnsi="宋体"/>
                <w:bCs/>
                <w:iCs/>
                <w:color w:val="000000"/>
              </w:rPr>
            </w:pPr>
            <w:r>
              <w:rPr>
                <w:rFonts w:hint="eastAsia" w:ascii="宋体" w:hAnsi="宋体"/>
                <w:bCs/>
                <w:iCs/>
                <w:color w:val="000000"/>
              </w:rPr>
              <w:t>华西证券、东方证券、兴业证券、招商证券、久联资管、云图启航、招银理财、申万菱信、西部利得、华宝基金、中银基金、人保资产、博时基金、嘉实基金、柏骏资本、千泰投资</w:t>
            </w:r>
          </w:p>
        </w:tc>
      </w:tr>
      <w:tr w14:paraId="062F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185B947E">
            <w:pPr>
              <w:ind w:firstLine="0" w:firstLineChars="0"/>
              <w:rPr>
                <w:rFonts w:ascii="宋体" w:hAnsi="宋体"/>
                <w:bCs/>
                <w:iCs/>
                <w:color w:val="000000"/>
              </w:rPr>
            </w:pPr>
            <w:r>
              <w:rPr>
                <w:rFonts w:hint="eastAsia" w:ascii="宋体" w:hAnsi="宋体"/>
                <w:bCs/>
                <w:iCs/>
                <w:color w:val="000000"/>
              </w:rPr>
              <w:t>时间</w:t>
            </w:r>
          </w:p>
        </w:tc>
        <w:tc>
          <w:tcPr>
            <w:tcW w:w="7585" w:type="dxa"/>
            <w:tcBorders>
              <w:top w:val="single" w:color="auto" w:sz="4" w:space="0"/>
              <w:left w:val="single" w:color="auto" w:sz="4" w:space="0"/>
              <w:bottom w:val="single" w:color="auto" w:sz="4" w:space="0"/>
              <w:right w:val="single" w:color="auto" w:sz="4" w:space="0"/>
            </w:tcBorders>
            <w:vAlign w:val="center"/>
          </w:tcPr>
          <w:p w14:paraId="1C5A9E86">
            <w:pPr>
              <w:spacing w:line="240" w:lineRule="auto"/>
              <w:ind w:firstLine="0" w:firstLineChars="0"/>
              <w:rPr>
                <w:rFonts w:ascii="宋体" w:hAnsi="宋体"/>
                <w:bCs/>
                <w:iCs/>
                <w:color w:val="000000"/>
              </w:rPr>
            </w:pPr>
            <w:r>
              <w:rPr>
                <w:rFonts w:hint="eastAsia" w:ascii="宋体" w:hAnsi="宋体"/>
                <w:bCs/>
                <w:iCs/>
                <w:color w:val="000000"/>
              </w:rPr>
              <w:t>2</w:t>
            </w:r>
            <w:r>
              <w:rPr>
                <w:rFonts w:ascii="宋体" w:hAnsi="宋体"/>
                <w:bCs/>
                <w:iCs/>
                <w:color w:val="000000"/>
              </w:rPr>
              <w:t>02</w:t>
            </w:r>
            <w:r>
              <w:rPr>
                <w:rFonts w:hint="eastAsia" w:ascii="宋体" w:hAnsi="宋体"/>
                <w:bCs/>
                <w:iCs/>
                <w:color w:val="000000"/>
              </w:rPr>
              <w:t>5</w:t>
            </w:r>
            <w:r>
              <w:rPr>
                <w:rFonts w:ascii="宋体" w:hAnsi="宋体"/>
                <w:bCs/>
                <w:iCs/>
                <w:color w:val="000000"/>
              </w:rPr>
              <w:t>年</w:t>
            </w:r>
            <w:r>
              <w:rPr>
                <w:rFonts w:hint="eastAsia" w:ascii="宋体" w:hAnsi="宋体"/>
                <w:bCs/>
                <w:iCs/>
                <w:color w:val="000000"/>
              </w:rPr>
              <w:t xml:space="preserve">12月19日 </w:t>
            </w:r>
            <w:r>
              <w:rPr>
                <w:rFonts w:ascii="宋体" w:hAnsi="宋体"/>
                <w:bCs/>
                <w:iCs/>
                <w:color w:val="000000"/>
              </w:rPr>
              <w:t>1</w:t>
            </w:r>
            <w:r>
              <w:rPr>
                <w:rFonts w:hint="eastAsia" w:ascii="宋体" w:hAnsi="宋体"/>
                <w:bCs/>
                <w:iCs/>
                <w:color w:val="000000"/>
              </w:rPr>
              <w:t>4</w:t>
            </w:r>
            <w:r>
              <w:rPr>
                <w:rFonts w:ascii="宋体" w:hAnsi="宋体"/>
                <w:bCs/>
                <w:iCs/>
                <w:color w:val="000000"/>
              </w:rPr>
              <w:t>:00-1</w:t>
            </w:r>
            <w:r>
              <w:rPr>
                <w:rFonts w:hint="eastAsia" w:ascii="宋体" w:hAnsi="宋体"/>
                <w:bCs/>
                <w:iCs/>
                <w:color w:val="000000"/>
              </w:rPr>
              <w:t>6</w:t>
            </w:r>
            <w:r>
              <w:rPr>
                <w:rFonts w:ascii="宋体" w:hAnsi="宋体"/>
                <w:bCs/>
                <w:iCs/>
                <w:color w:val="000000"/>
              </w:rPr>
              <w:t>:</w:t>
            </w:r>
            <w:r>
              <w:rPr>
                <w:rFonts w:hint="eastAsia" w:ascii="宋体" w:hAnsi="宋体"/>
                <w:bCs/>
                <w:iCs/>
                <w:color w:val="000000"/>
              </w:rPr>
              <w:t>0</w:t>
            </w:r>
            <w:r>
              <w:rPr>
                <w:rFonts w:ascii="宋体" w:hAnsi="宋体"/>
                <w:bCs/>
                <w:iCs/>
                <w:color w:val="000000"/>
              </w:rPr>
              <w:t>0</w:t>
            </w:r>
          </w:p>
        </w:tc>
      </w:tr>
      <w:tr w14:paraId="0D29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33F61DD0">
            <w:pPr>
              <w:ind w:firstLine="0" w:firstLineChars="0"/>
              <w:rPr>
                <w:rFonts w:ascii="宋体" w:hAnsi="宋体"/>
                <w:bCs/>
                <w:iCs/>
                <w:color w:val="000000"/>
              </w:rPr>
            </w:pPr>
            <w:r>
              <w:rPr>
                <w:rFonts w:hint="eastAsia" w:ascii="宋体" w:hAnsi="宋体"/>
                <w:bCs/>
                <w:iCs/>
                <w:color w:val="000000"/>
              </w:rPr>
              <w:t>地点</w:t>
            </w:r>
          </w:p>
        </w:tc>
        <w:tc>
          <w:tcPr>
            <w:tcW w:w="7585" w:type="dxa"/>
            <w:tcBorders>
              <w:top w:val="single" w:color="auto" w:sz="4" w:space="0"/>
              <w:left w:val="single" w:color="auto" w:sz="4" w:space="0"/>
              <w:bottom w:val="single" w:color="auto" w:sz="4" w:space="0"/>
              <w:right w:val="single" w:color="auto" w:sz="4" w:space="0"/>
            </w:tcBorders>
            <w:vAlign w:val="center"/>
          </w:tcPr>
          <w:p w14:paraId="305F8209">
            <w:pPr>
              <w:spacing w:line="240" w:lineRule="auto"/>
              <w:ind w:firstLine="0" w:firstLineChars="0"/>
              <w:rPr>
                <w:rFonts w:ascii="宋体" w:hAnsi="宋体"/>
                <w:bCs/>
                <w:iCs/>
                <w:color w:val="000000"/>
              </w:rPr>
            </w:pPr>
            <w:r>
              <w:rPr>
                <w:rFonts w:hint="eastAsia" w:ascii="宋体" w:hAnsi="宋体"/>
                <w:bCs/>
                <w:iCs/>
                <w:color w:val="000000"/>
              </w:rPr>
              <w:t>成都华微电子科技股份有限公司会议室</w:t>
            </w:r>
          </w:p>
        </w:tc>
      </w:tr>
      <w:tr w14:paraId="4A9F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58A0B6F5">
            <w:pPr>
              <w:ind w:firstLine="0" w:firstLineChars="0"/>
              <w:rPr>
                <w:rFonts w:ascii="宋体" w:hAnsi="宋体"/>
                <w:bCs/>
                <w:iCs/>
                <w:color w:val="000000"/>
              </w:rPr>
            </w:pPr>
            <w:r>
              <w:rPr>
                <w:rFonts w:hint="eastAsia" w:ascii="宋体" w:hAnsi="宋体"/>
                <w:bCs/>
                <w:iCs/>
                <w:color w:val="000000"/>
              </w:rPr>
              <w:t>上市公司接待人员姓名</w:t>
            </w:r>
          </w:p>
        </w:tc>
        <w:tc>
          <w:tcPr>
            <w:tcW w:w="7585" w:type="dxa"/>
            <w:tcBorders>
              <w:top w:val="single" w:color="auto" w:sz="4" w:space="0"/>
              <w:left w:val="single" w:color="auto" w:sz="4" w:space="0"/>
              <w:bottom w:val="single" w:color="auto" w:sz="4" w:space="0"/>
              <w:right w:val="single" w:color="auto" w:sz="4" w:space="0"/>
            </w:tcBorders>
            <w:vAlign w:val="center"/>
          </w:tcPr>
          <w:p w14:paraId="44EA083D">
            <w:pPr>
              <w:spacing w:line="480" w:lineRule="atLeast"/>
              <w:ind w:firstLine="0" w:firstLineChars="0"/>
              <w:rPr>
                <w:rFonts w:ascii="宋体" w:hAnsi="宋体"/>
                <w:bCs/>
                <w:iCs/>
                <w:color w:val="000000"/>
              </w:rPr>
            </w:pPr>
            <w:r>
              <w:rPr>
                <w:rFonts w:hint="eastAsia" w:ascii="宋体" w:hAnsi="宋体"/>
                <w:bCs/>
                <w:iCs/>
                <w:color w:val="000000"/>
              </w:rPr>
              <w:t>董事兼总经理王策，总经理助理张旭，技术支持中心主任李呈，证券事务代表周文明、蔡进</w:t>
            </w:r>
          </w:p>
        </w:tc>
      </w:tr>
      <w:tr w14:paraId="539E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1B0B9D68">
            <w:pPr>
              <w:ind w:firstLine="0" w:firstLineChars="0"/>
              <w:rPr>
                <w:rFonts w:ascii="宋体" w:hAnsi="宋体"/>
                <w:bCs/>
                <w:iCs/>
                <w:color w:val="000000"/>
              </w:rPr>
            </w:pPr>
            <w:r>
              <w:rPr>
                <w:rFonts w:hint="eastAsia" w:ascii="宋体" w:hAnsi="宋体"/>
                <w:bCs/>
                <w:iCs/>
                <w:color w:val="000000"/>
              </w:rPr>
              <w:t>投资者关系活动主要内容介绍</w:t>
            </w:r>
          </w:p>
          <w:p w14:paraId="394ACBC1">
            <w:pPr>
              <w:ind w:firstLine="0" w:firstLineChars="0"/>
              <w:rPr>
                <w:rFonts w:ascii="宋体" w:hAnsi="宋体"/>
                <w:bCs/>
                <w:iCs/>
                <w:color w:val="000000"/>
              </w:rPr>
            </w:pPr>
          </w:p>
        </w:tc>
        <w:tc>
          <w:tcPr>
            <w:tcW w:w="7585" w:type="dxa"/>
            <w:tcBorders>
              <w:top w:val="single" w:color="auto" w:sz="4" w:space="0"/>
              <w:left w:val="single" w:color="auto" w:sz="4" w:space="0"/>
              <w:bottom w:val="single" w:color="auto" w:sz="4" w:space="0"/>
              <w:right w:val="single" w:color="auto" w:sz="4" w:space="0"/>
            </w:tcBorders>
          </w:tcPr>
          <w:p w14:paraId="08518644">
            <w:pPr>
              <w:spacing w:line="480" w:lineRule="atLeast"/>
              <w:ind w:firstLine="480"/>
              <w:rPr>
                <w:rFonts w:ascii="宋体" w:hAnsi="宋体"/>
                <w:bCs/>
                <w:iCs/>
                <w:color w:val="000000"/>
              </w:rPr>
            </w:pPr>
            <w:r>
              <w:rPr>
                <w:rFonts w:hint="eastAsia" w:ascii="宋体" w:hAnsi="宋体"/>
                <w:bCs/>
                <w:iCs/>
                <w:color w:val="000000"/>
              </w:rPr>
              <w:t>交流活动中，公司总经理王策现场介绍公司基本情况，公司相关与会人员同来访人员深入交流；来访人员现场参观了公司通过中国合格评定国家认可委员会 CNAS、国防科技工业实验室认可委员会 DiLAC 认证的国家级检测中心，详细了解了公司产品的生产流程和技术特点。</w:t>
            </w:r>
          </w:p>
          <w:p w14:paraId="37CE923E">
            <w:pPr>
              <w:spacing w:line="480" w:lineRule="atLeast"/>
              <w:ind w:firstLine="480"/>
              <w:rPr>
                <w:rFonts w:ascii="宋体" w:hAnsi="宋体"/>
                <w:bCs/>
                <w:iCs/>
                <w:color w:val="000000"/>
              </w:rPr>
            </w:pPr>
          </w:p>
          <w:p w14:paraId="17C19C4F">
            <w:pPr>
              <w:spacing w:line="480" w:lineRule="atLeast"/>
              <w:ind w:firstLine="482"/>
              <w:rPr>
                <w:rFonts w:ascii="宋体" w:hAnsi="宋体"/>
                <w:b/>
                <w:bCs/>
                <w:iCs/>
                <w:color w:val="000000"/>
              </w:rPr>
            </w:pPr>
            <w:r>
              <w:rPr>
                <w:rFonts w:hint="eastAsia" w:ascii="宋体" w:hAnsi="宋体"/>
                <w:b/>
                <w:bCs/>
                <w:iCs/>
                <w:color w:val="000000"/>
              </w:rPr>
              <w:t>一、公司基本情况介绍</w:t>
            </w:r>
          </w:p>
          <w:p w14:paraId="17B40203">
            <w:pPr>
              <w:spacing w:line="480" w:lineRule="atLeast"/>
              <w:ind w:firstLine="480"/>
              <w:rPr>
                <w:rFonts w:ascii="宋体" w:hAnsi="宋体"/>
                <w:bCs/>
                <w:iCs/>
                <w:color w:val="000000"/>
              </w:rPr>
            </w:pPr>
            <w:r>
              <w:rPr>
                <w:rFonts w:hint="eastAsia" w:ascii="宋体" w:hAnsi="宋体"/>
                <w:bCs/>
                <w:iCs/>
                <w:color w:val="000000"/>
              </w:rPr>
              <w:t>公司是国家“909”工程集成电路设计公司，专注于集成电路研发、设计、测试与销售，以提供信号处理与控制系统的整体解决方案为产业发展方向。自“十一五”以来，公司连续承接多项 FPGA、ADC、SoC 方面的国家科技重大专项和国家重点研发计划，是目前国内少数几家同时承接数字和模拟集成电路国家重大专项的企业。</w:t>
            </w:r>
          </w:p>
          <w:p w14:paraId="051750C6">
            <w:pPr>
              <w:spacing w:line="480" w:lineRule="atLeast"/>
              <w:ind w:firstLine="480"/>
              <w:rPr>
                <w:rFonts w:ascii="宋体" w:hAnsi="宋体"/>
                <w:bCs/>
                <w:iCs/>
                <w:color w:val="000000"/>
              </w:rPr>
            </w:pPr>
            <w:r>
              <w:rPr>
                <w:rFonts w:hint="eastAsia" w:ascii="宋体" w:hAnsi="宋体"/>
                <w:bCs/>
                <w:iCs/>
                <w:color w:val="000000"/>
              </w:rPr>
              <w:t>目前公司已形成了覆盖可编程逻辑器件（CPLD/FPGA）、数据转换（ADC/DAC）、存储芯片、总线接口、电源管理、微控制器等多系列集成电路产品，这些产品可广泛应用于电子、通信、控制、测量等多个领域。</w:t>
            </w:r>
          </w:p>
          <w:p w14:paraId="3E9A3D07">
            <w:pPr>
              <w:spacing w:line="480" w:lineRule="atLeast"/>
              <w:ind w:firstLine="480"/>
              <w:rPr>
                <w:rFonts w:ascii="宋体" w:hAnsi="宋体"/>
                <w:bCs/>
                <w:iCs/>
                <w:color w:val="000000"/>
              </w:rPr>
            </w:pPr>
            <w:r>
              <w:rPr>
                <w:rFonts w:hint="eastAsia" w:ascii="宋体" w:hAnsi="宋体"/>
                <w:bCs/>
                <w:iCs/>
                <w:color w:val="000000"/>
              </w:rPr>
              <w:t>公司建立了特种集成电路检测线，拥有中国合格评定国家认可委员会CNAS、国防科技工业实验室认可委员会 DiLAC 认证的国家级检测中心，具有较为完备的集成电路产品测试能力。经过多年的市场验证，公司的产品已得到国内特种集成电路行业下游主流厂商的认可，核心产品CPLD/FPGA、高速高精度 ADC 以及高精度 ADC 处于国内领先地位。</w:t>
            </w:r>
          </w:p>
          <w:p w14:paraId="54656AE1">
            <w:pPr>
              <w:spacing w:line="480" w:lineRule="atLeast"/>
              <w:ind w:firstLine="482"/>
              <w:rPr>
                <w:rFonts w:ascii="宋体" w:hAnsi="宋体"/>
                <w:b/>
                <w:bCs/>
                <w:iCs/>
                <w:color w:val="000000"/>
              </w:rPr>
            </w:pPr>
            <w:r>
              <w:rPr>
                <w:rFonts w:hint="eastAsia" w:ascii="宋体" w:hAnsi="宋体"/>
                <w:b/>
                <w:bCs/>
                <w:iCs/>
                <w:color w:val="000000"/>
              </w:rPr>
              <w:t>二、问答情况</w:t>
            </w:r>
          </w:p>
          <w:p w14:paraId="107252DF">
            <w:pPr>
              <w:spacing w:line="480" w:lineRule="atLeast"/>
              <w:ind w:firstLine="482"/>
              <w:rPr>
                <w:rFonts w:ascii="宋体" w:hAnsi="宋体"/>
                <w:b/>
                <w:bCs/>
                <w:iCs/>
                <w:color w:val="000000"/>
              </w:rPr>
            </w:pPr>
            <w:r>
              <w:rPr>
                <w:rFonts w:hint="eastAsia" w:ascii="宋体" w:hAnsi="宋体"/>
                <w:b/>
                <w:bCs/>
                <w:iCs/>
                <w:color w:val="000000"/>
              </w:rPr>
              <w:t>1、公司在行业中的地位是怎样的，有哪些竞争优势？</w:t>
            </w:r>
          </w:p>
          <w:p w14:paraId="524E7417">
            <w:pPr>
              <w:spacing w:line="480" w:lineRule="atLeast"/>
              <w:ind w:firstLine="480"/>
              <w:rPr>
                <w:rFonts w:ascii="宋体" w:hAnsi="宋体"/>
                <w:bCs/>
                <w:iCs/>
                <w:color w:val="000000"/>
              </w:rPr>
            </w:pPr>
            <w:r>
              <w:rPr>
                <w:rFonts w:hint="eastAsia" w:ascii="宋体" w:hAnsi="宋体"/>
                <w:bCs/>
                <w:iCs/>
                <w:color w:val="000000"/>
              </w:rPr>
              <w:t>答：公司作为国家“909”工程集成电路设计公司和国家首批认证的集成电路设计企业，连续承接国家“十一五”、“十二五”、“十三五”FPGA 国家科技重大专项，“十三五”高速高精度 ADC 国家科技重大专项、高速高精度 ADC 国家重点研发计划，智能异构可编程 SoC 国家重点研发计划，是国内少数几家同时承接数字和模拟集成电路国家重大专项的企业。公司除了在具体技术类别上有领先性外，依托于数字、模拟两个产品方向的丰富积累，在系统集成和提供整体解决方案两个赛道具有一定优势。</w:t>
            </w:r>
          </w:p>
          <w:p w14:paraId="06B41FFB">
            <w:pPr>
              <w:spacing w:line="480" w:lineRule="atLeast"/>
              <w:ind w:firstLine="482"/>
              <w:rPr>
                <w:rFonts w:ascii="宋体" w:hAnsi="宋体"/>
                <w:b/>
                <w:bCs/>
                <w:iCs/>
                <w:color w:val="000000"/>
              </w:rPr>
            </w:pPr>
            <w:r>
              <w:rPr>
                <w:rFonts w:hint="eastAsia" w:ascii="宋体" w:hAnsi="宋体"/>
                <w:b/>
                <w:bCs/>
                <w:iCs/>
                <w:color w:val="000000"/>
              </w:rPr>
              <w:t>2</w:t>
            </w:r>
            <w:r>
              <w:rPr>
                <w:rFonts w:ascii="宋体" w:hAnsi="宋体"/>
                <w:b/>
                <w:bCs/>
                <w:iCs/>
                <w:color w:val="000000"/>
              </w:rPr>
              <w:t>.</w:t>
            </w:r>
            <w:r>
              <w:rPr>
                <w:rFonts w:hint="eastAsia" w:ascii="宋体" w:hAnsi="宋体"/>
                <w:b/>
                <w:bCs/>
                <w:iCs/>
                <w:color w:val="000000"/>
              </w:rPr>
              <w:t>请详细介绍一下公司在ADC、SoC以及MCU方向上已有的竞争优势和研发进展的情况。</w:t>
            </w:r>
          </w:p>
          <w:p w14:paraId="09916552">
            <w:pPr>
              <w:spacing w:line="480" w:lineRule="atLeast"/>
              <w:ind w:firstLine="480"/>
              <w:rPr>
                <w:rFonts w:ascii="宋体"/>
              </w:rPr>
            </w:pPr>
            <w:r>
              <w:rPr>
                <w:rFonts w:hint="eastAsia" w:ascii="宋体"/>
              </w:rPr>
              <w:t>答：在ADC方面，公司高速高精度ADC领域持续取得技术突破：2025年9月发布的HWD12B40GA4型4通道12位40GSPS高速高精度射频直采ADC芯片，填补国内高端射频芯片空白，技术指标达国际领先水平，并可广泛应用于卫星通信、雷达探测及高端仪器仪表等领域，并已完成部分相关客户验证；公司8位64G超高速ADC（HWD08B64GA1）已在多家用户单位形成小批量供货。</w:t>
            </w:r>
          </w:p>
          <w:p w14:paraId="0DCCF530">
            <w:pPr>
              <w:spacing w:line="480" w:lineRule="atLeast"/>
              <w:ind w:firstLine="480"/>
              <w:rPr>
                <w:rFonts w:ascii="宋体"/>
              </w:rPr>
            </w:pPr>
            <w:r>
              <w:rPr>
                <w:rFonts w:hint="eastAsia" w:ascii="宋体"/>
              </w:rPr>
              <w:t>在智能异构SoC方面，公司正积极推进相关研发进程：AI算力达16Tops的边缘计算芯片已在特种行业客户中实现小批量试用；更高算力的100Tops AI芯片（支持8K视频编解码）尚处于研发过程中。</w:t>
            </w:r>
          </w:p>
          <w:p w14:paraId="76D59D57">
            <w:pPr>
              <w:spacing w:line="480" w:lineRule="atLeast"/>
              <w:ind w:firstLine="480"/>
              <w:rPr>
                <w:rFonts w:ascii="宋体"/>
              </w:rPr>
            </w:pPr>
            <w:r>
              <w:rPr>
                <w:rFonts w:hint="eastAsia" w:ascii="宋体"/>
              </w:rPr>
              <w:t>在MCU方向上，公司高性能MCU产品谱系持续完善，32位高速高可靠MCU（HWD32H743）支持400MHz主频及双精度浮点处理</w:t>
            </w:r>
            <w:bookmarkStart w:id="0" w:name="_GoBack"/>
            <w:bookmarkEnd w:id="0"/>
            <w:r>
              <w:rPr>
                <w:rFonts w:hint="eastAsia" w:ascii="宋体"/>
              </w:rPr>
              <w:t>。</w:t>
            </w:r>
          </w:p>
          <w:p w14:paraId="67224494">
            <w:pPr>
              <w:spacing w:line="480" w:lineRule="atLeast"/>
              <w:ind w:firstLine="482"/>
              <w:rPr>
                <w:rFonts w:ascii="宋体" w:hAnsi="宋体"/>
                <w:b/>
                <w:bCs/>
                <w:iCs/>
                <w:color w:val="000000"/>
              </w:rPr>
            </w:pPr>
            <w:r>
              <w:rPr>
                <w:rFonts w:hint="eastAsia" w:ascii="宋体" w:hAnsi="宋体"/>
                <w:b/>
                <w:bCs/>
                <w:iCs/>
                <w:color w:val="000000"/>
              </w:rPr>
              <w:t>3</w:t>
            </w:r>
            <w:r>
              <w:rPr>
                <w:rFonts w:ascii="宋体" w:hAnsi="宋体"/>
                <w:b/>
                <w:bCs/>
                <w:iCs/>
                <w:color w:val="000000"/>
              </w:rPr>
              <w:t>.</w:t>
            </w:r>
            <w:r>
              <w:rPr>
                <w:rFonts w:hint="eastAsia" w:ascii="宋体" w:hAnsi="宋体"/>
                <w:b/>
                <w:bCs/>
                <w:iCs/>
                <w:color w:val="000000"/>
              </w:rPr>
              <w:t>请问公司在太空算力领域的布局情况如何？</w:t>
            </w:r>
          </w:p>
          <w:p w14:paraId="10D2B6D3">
            <w:pPr>
              <w:spacing w:line="480" w:lineRule="atLeast"/>
              <w:ind w:firstLine="480"/>
              <w:rPr>
                <w:rFonts w:ascii="宋体" w:hAnsi="宋体"/>
                <w:bCs/>
                <w:iCs/>
                <w:color w:val="000000"/>
              </w:rPr>
            </w:pPr>
            <w:r>
              <w:rPr>
                <w:rFonts w:hint="eastAsia" w:ascii="宋体" w:hAnsi="宋体"/>
                <w:bCs/>
                <w:iCs/>
                <w:color w:val="000000"/>
              </w:rPr>
              <w:t>答：抗辐照技术是保障太空极端环境中设备可靠性的关键技术，主要针对极端环境中设备性能退化问题，通过加固设计、结构优化等手段，提升其抗辐射损伤能力的技术体系。公司目前已有抗辐照FPGA产品及部分高速高精度ADC产品具备抗辐照相关能力，如8位64G超高速ADC（HWD08B64GA1）系列产品抗辐照能力达到75MeV，可加强产品在辐射环境中的稳定性、可靠性。2025年8月，公司已与燧原科技签署战略合作协议，携手在大模型、高算力GPU领域展开深度合作，基于公司市场开拓需求，该算力能力可以广泛应用于模型训练、太空算力、端测推理等领域。</w:t>
            </w:r>
          </w:p>
          <w:p w14:paraId="285A0265">
            <w:pPr>
              <w:spacing w:line="480" w:lineRule="atLeast"/>
              <w:ind w:firstLine="482"/>
              <w:rPr>
                <w:rFonts w:ascii="宋体" w:hAnsi="宋体"/>
                <w:b/>
                <w:bCs/>
                <w:iCs/>
                <w:color w:val="000000"/>
              </w:rPr>
            </w:pPr>
            <w:r>
              <w:rPr>
                <w:rFonts w:hint="eastAsia" w:ascii="宋体" w:hAnsi="宋体"/>
                <w:b/>
                <w:bCs/>
                <w:iCs/>
                <w:color w:val="000000"/>
              </w:rPr>
              <w:t>4</w:t>
            </w:r>
            <w:r>
              <w:rPr>
                <w:rFonts w:ascii="宋体" w:hAnsi="宋体"/>
                <w:b/>
                <w:bCs/>
                <w:iCs/>
                <w:color w:val="000000"/>
              </w:rPr>
              <w:t>.</w:t>
            </w:r>
            <w:r>
              <w:rPr>
                <w:rFonts w:hint="eastAsia" w:ascii="宋体" w:hAnsi="宋体"/>
                <w:b/>
                <w:bCs/>
                <w:iCs/>
                <w:color w:val="000000"/>
              </w:rPr>
              <w:t>请问TSN产品较原有传统总线型网络的优势如何？</w:t>
            </w:r>
          </w:p>
          <w:p w14:paraId="672F2927">
            <w:pPr>
              <w:spacing w:line="480" w:lineRule="atLeast"/>
              <w:ind w:firstLine="480"/>
              <w:rPr>
                <w:rFonts w:ascii="宋体" w:hAnsi="宋体"/>
                <w:bCs/>
                <w:iCs/>
                <w:color w:val="000000"/>
              </w:rPr>
            </w:pPr>
            <w:r>
              <w:rPr>
                <w:rFonts w:hint="eastAsia" w:ascii="宋体" w:hAnsi="宋体"/>
                <w:bCs/>
                <w:iCs/>
                <w:color w:val="000000"/>
              </w:rPr>
              <w:t>答：目前高端装备平台中广泛使用的还是传统总线型网络，比如航空航天领域的AFDX网络等。这些传统网络在设计之初，受限于当时的技术水平，已经难以满足如今高端装备对带宽、可靠性、端到端延时和抖动等服务质量的严苛需求。比如CAN总线带宽较低，无法承载大量高清音视频数据；AFDX网络的延迟控制能力，也难以匹配自动驾驶等场景下的微秒级需求。传统网络的瓶颈，已经成为制约高端装备性能升级的重要因素。</w:t>
            </w:r>
          </w:p>
          <w:p w14:paraId="752808F9">
            <w:pPr>
              <w:spacing w:line="480" w:lineRule="atLeast"/>
              <w:ind w:firstLine="480"/>
              <w:rPr>
                <w:rFonts w:ascii="宋体" w:hAnsi="宋体"/>
                <w:bCs/>
                <w:iCs/>
                <w:color w:val="000000"/>
              </w:rPr>
            </w:pPr>
            <w:r>
              <w:rPr>
                <w:rFonts w:hint="eastAsia" w:ascii="宋体" w:hAnsi="宋体"/>
                <w:bCs/>
                <w:iCs/>
                <w:color w:val="000000"/>
              </w:rPr>
              <w:t>TSN技术作为一种新兴的实时以太网技术，最大的优势就是能够为不同类型的数据提供“定制化”的传输服务，实现硬实时控制流、软实时音视频流等混合数据的高效、可靠传输。它就像一位“智能管家”，能够合理规划网络资源，为关键数据开辟“绿色通道”，确保其优先、准时传输；同时，也能高效利用剩余带宽，传输非关键数据，避免网络资源浪费。TSN技术的出现，不仅解决了高端装备平台的通信瓶颈，更契合了国家培育壮大战略性新兴高端装备的重大需求。它能够为高端装备提供强大的实时通信支撑，助力装备性能实现质的飞跃，推动我国高端装备制造产业向更高质量、更高水平发展，是当前高端装备领域不可或缺的重要研究方向和关键技术。</w:t>
            </w:r>
          </w:p>
          <w:p w14:paraId="7A198001">
            <w:pPr>
              <w:spacing w:line="480" w:lineRule="atLeast"/>
              <w:ind w:firstLine="482"/>
              <w:rPr>
                <w:rFonts w:ascii="宋体" w:hAnsi="宋体"/>
                <w:b/>
                <w:bCs/>
                <w:iCs/>
                <w:color w:val="000000"/>
              </w:rPr>
            </w:pPr>
            <w:r>
              <w:rPr>
                <w:rFonts w:hint="eastAsia" w:ascii="宋体" w:hAnsi="宋体"/>
                <w:b/>
                <w:bCs/>
                <w:iCs/>
                <w:color w:val="000000"/>
              </w:rPr>
              <w:t>5</w:t>
            </w:r>
            <w:r>
              <w:rPr>
                <w:rFonts w:ascii="宋体" w:hAnsi="宋体"/>
                <w:b/>
                <w:bCs/>
                <w:iCs/>
                <w:color w:val="000000"/>
              </w:rPr>
              <w:t>.</w:t>
            </w:r>
            <w:r>
              <w:rPr>
                <w:rFonts w:hint="eastAsia" w:ascii="宋体" w:hAnsi="宋体"/>
                <w:b/>
                <w:bCs/>
                <w:iCs/>
                <w:color w:val="000000"/>
              </w:rPr>
              <w:t>请问公司TSN产品的布局情况及主要应用领域？</w:t>
            </w:r>
          </w:p>
          <w:p w14:paraId="1E3E639E">
            <w:pPr>
              <w:widowControl/>
              <w:ind w:firstLine="480"/>
              <w:jc w:val="both"/>
              <w:rPr>
                <w:rFonts w:ascii="宋体" w:hAnsi="宋体" w:cs="宋体"/>
                <w:kern w:val="0"/>
                <w:lang w:bidi="ar"/>
              </w:rPr>
            </w:pPr>
            <w:r>
              <w:rPr>
                <w:rFonts w:hint="eastAsia" w:ascii="宋体" w:hAnsi="宋体"/>
                <w:bCs/>
                <w:iCs/>
                <w:color w:val="000000"/>
              </w:rPr>
              <w:t>答：</w:t>
            </w:r>
            <w:r>
              <w:rPr>
                <w:rFonts w:hint="eastAsia" w:ascii="宋体" w:hAnsi="宋体" w:cs="宋体"/>
                <w:kern w:val="0"/>
                <w:lang w:bidi="ar"/>
              </w:rPr>
              <w:t>公司已</w:t>
            </w:r>
            <w:r>
              <w:rPr>
                <w:rFonts w:ascii="宋体" w:hAnsi="宋体" w:cs="宋体"/>
                <w:kern w:val="0"/>
                <w:lang w:bidi="ar"/>
              </w:rPr>
              <w:t>于2025年10月正式成立“TSN研发中心”，团队核心人员均来自TSN领域资深行业专家，</w:t>
            </w:r>
            <w:r>
              <w:rPr>
                <w:rFonts w:hint="eastAsia" w:ascii="宋体" w:hAnsi="宋体" w:cs="宋体"/>
                <w:kern w:val="0"/>
                <w:lang w:val="en-US" w:eastAsia="zh-CN" w:bidi="ar"/>
              </w:rPr>
              <w:t>并</w:t>
            </w:r>
            <w:r>
              <w:rPr>
                <w:rFonts w:hint="eastAsia" w:ascii="宋体" w:hAnsi="宋体" w:cs="宋体"/>
                <w:kern w:val="0"/>
                <w:lang w:bidi="ar"/>
              </w:rPr>
              <w:t>受商业航天</w:t>
            </w:r>
            <w:r>
              <w:rPr>
                <w:rFonts w:hint="eastAsia" w:ascii="宋体" w:hAnsi="宋体" w:cs="宋体"/>
                <w:kern w:val="0"/>
                <w:lang w:val="en-US" w:eastAsia="zh-CN" w:bidi="ar"/>
              </w:rPr>
              <w:t>相关技术规范制定机构</w:t>
            </w:r>
            <w:r>
              <w:rPr>
                <w:rFonts w:hint="eastAsia" w:ascii="宋体" w:hAnsi="宋体" w:cs="宋体"/>
                <w:kern w:val="0"/>
                <w:lang w:bidi="ar"/>
              </w:rPr>
              <w:t>邀请作为核心专家参与《箭载时间敏感网络（TSN）技术规范》的制定，该团队</w:t>
            </w:r>
            <w:r>
              <w:rPr>
                <w:rFonts w:ascii="宋体" w:hAnsi="宋体" w:cs="宋体"/>
                <w:kern w:val="0"/>
                <w:lang w:bidi="ar"/>
              </w:rPr>
              <w:t>已为工业领域、车载领域、航空领域等多家用户搭建TSN时间敏感网络系统，成功运用公司自研高性能FPGA产品（HWDSW300T\HWDSP700T）配合TSN算法形成万兆TSN网络交换板卡与网卡</w:t>
            </w:r>
            <w:r>
              <w:rPr>
                <w:rFonts w:hint="eastAsia" w:ascii="宋体" w:hAnsi="宋体" w:cs="宋体"/>
                <w:kern w:val="0"/>
                <w:lang w:bidi="ar"/>
              </w:rPr>
              <w:t>。</w:t>
            </w:r>
          </w:p>
          <w:p w14:paraId="0CD921E9">
            <w:pPr>
              <w:widowControl/>
              <w:ind w:firstLine="480"/>
              <w:jc w:val="both"/>
              <w:rPr>
                <w:rFonts w:ascii="宋体" w:hAnsi="宋体"/>
                <w:bCs/>
                <w:iCs/>
                <w:color w:val="000000"/>
              </w:rPr>
            </w:pPr>
            <w:r>
              <w:rPr>
                <w:rFonts w:hint="eastAsia" w:ascii="宋体" w:hAnsi="宋体"/>
                <w:bCs/>
                <w:iCs/>
                <w:color w:val="000000"/>
              </w:rPr>
              <w:t>公司已推出</w:t>
            </w:r>
            <w:r>
              <w:rPr>
                <w:rFonts w:ascii="宋体" w:hAnsi="宋体" w:cs="宋体"/>
                <w:kern w:val="0"/>
                <w:lang w:bidi="ar"/>
              </w:rPr>
              <w:t>TSN首款产品—“TSN网络交换板卡”</w:t>
            </w:r>
            <w:r>
              <w:rPr>
                <w:rFonts w:hint="eastAsia" w:ascii="宋体" w:hAnsi="宋体" w:cs="宋体"/>
                <w:kern w:val="0"/>
                <w:lang w:bidi="ar"/>
              </w:rPr>
              <w:t>，其采用TSN IP核+FPGA芯片+专用ASIC电路，提供从电源、芯片等核心硬件到工具链软件的整体解决方案，具备高度集成优势，适用于对实时性和确定性要求极高的场景，包括航空航天等领域。</w:t>
            </w:r>
          </w:p>
          <w:p w14:paraId="123496F1">
            <w:pPr>
              <w:spacing w:line="480" w:lineRule="atLeast"/>
              <w:ind w:firstLine="482"/>
              <w:rPr>
                <w:rFonts w:ascii="宋体" w:hAnsi="宋体"/>
                <w:b/>
                <w:bCs/>
                <w:iCs/>
                <w:color w:val="000000"/>
              </w:rPr>
            </w:pPr>
            <w:r>
              <w:rPr>
                <w:rFonts w:hint="eastAsia" w:ascii="宋体" w:hAnsi="宋体"/>
                <w:b/>
                <w:bCs/>
                <w:iCs/>
                <w:color w:val="000000"/>
              </w:rPr>
              <w:t>6</w:t>
            </w:r>
            <w:r>
              <w:rPr>
                <w:rFonts w:ascii="宋体" w:hAnsi="宋体"/>
                <w:b/>
                <w:bCs/>
                <w:iCs/>
                <w:color w:val="000000"/>
              </w:rPr>
              <w:t>.</w:t>
            </w:r>
            <w:r>
              <w:rPr>
                <w:rFonts w:hint="eastAsia" w:ascii="宋体" w:hAnsi="宋体"/>
                <w:b/>
                <w:bCs/>
                <w:iCs/>
                <w:color w:val="000000"/>
              </w:rPr>
              <w:t>请问公司TSN产品在商业航天领域的应用场景如何？</w:t>
            </w:r>
          </w:p>
          <w:p w14:paraId="259AE067">
            <w:pPr>
              <w:spacing w:line="480" w:lineRule="atLeast"/>
              <w:ind w:firstLine="480"/>
              <w:rPr>
                <w:rFonts w:ascii="宋体"/>
              </w:rPr>
            </w:pPr>
            <w:r>
              <w:rPr>
                <w:rFonts w:hint="eastAsia" w:ascii="宋体"/>
              </w:rPr>
              <w:t>答：随着商业航天的发展及传输信息量的增加，目前市场上现有的</w:t>
            </w:r>
            <w:r>
              <w:rPr>
                <w:rFonts w:hint="eastAsia" w:ascii="宋体" w:hAnsi="宋体"/>
                <w:bCs/>
                <w:iCs/>
                <w:color w:val="000000"/>
              </w:rPr>
              <w:t>航空航天领域AFDX网络延迟控制能力难以满足如今高端装备对带宽、可靠性、端到端延时和抖动等服务质量的严苛需求。公司相关团队</w:t>
            </w:r>
            <w:r>
              <w:rPr>
                <w:rFonts w:hint="eastAsia" w:ascii="宋体" w:hAnsi="宋体" w:cs="宋体"/>
                <w:kern w:val="0"/>
                <w:lang w:bidi="ar"/>
              </w:rPr>
              <w:t>成员受商业航天</w:t>
            </w:r>
            <w:r>
              <w:rPr>
                <w:rFonts w:hint="eastAsia" w:ascii="宋体" w:hAnsi="宋体" w:cs="宋体"/>
                <w:kern w:val="0"/>
                <w:lang w:val="en-US" w:eastAsia="zh-CN" w:bidi="ar"/>
              </w:rPr>
              <w:t>相关技术规范制定机构</w:t>
            </w:r>
            <w:r>
              <w:rPr>
                <w:rFonts w:hint="eastAsia" w:ascii="宋体" w:hAnsi="宋体" w:cs="宋体"/>
                <w:kern w:val="0"/>
                <w:lang w:bidi="ar"/>
              </w:rPr>
              <w:t>邀请作为核心专家参与</w:t>
            </w:r>
            <w:r>
              <w:rPr>
                <w:rFonts w:ascii="宋体" w:hAnsi="宋体" w:cs="宋体"/>
                <w:kern w:val="0"/>
                <w:lang w:bidi="ar"/>
              </w:rPr>
              <w:t>《箭载时间敏感网络（TSN）技术规范》的制定，持续推动TSN技术在高端装备领域的落地与应用。</w:t>
            </w:r>
          </w:p>
          <w:p w14:paraId="03A4B81A">
            <w:pPr>
              <w:spacing w:line="480" w:lineRule="atLeast"/>
              <w:ind w:firstLine="482"/>
              <w:rPr>
                <w:rFonts w:ascii="宋体" w:hAnsi="宋体"/>
                <w:b/>
                <w:bCs/>
                <w:iCs/>
                <w:color w:val="000000"/>
              </w:rPr>
            </w:pPr>
            <w:r>
              <w:rPr>
                <w:rFonts w:hint="eastAsia" w:ascii="宋体" w:hAnsi="宋体"/>
                <w:b/>
                <w:bCs/>
                <w:iCs/>
                <w:color w:val="000000"/>
              </w:rPr>
              <w:t>7</w:t>
            </w:r>
            <w:r>
              <w:rPr>
                <w:rFonts w:ascii="宋体" w:hAnsi="宋体"/>
                <w:b/>
                <w:bCs/>
                <w:iCs/>
                <w:color w:val="000000"/>
              </w:rPr>
              <w:t>.</w:t>
            </w:r>
            <w:r>
              <w:rPr>
                <w:rFonts w:hint="eastAsia" w:ascii="宋体" w:hAnsi="宋体"/>
                <w:b/>
                <w:bCs/>
                <w:iCs/>
                <w:color w:val="000000"/>
              </w:rPr>
              <w:t>请问公司产品在高端仪器仪表的布局情况如何？</w:t>
            </w:r>
          </w:p>
          <w:p w14:paraId="354D5C39">
            <w:pPr>
              <w:spacing w:line="480" w:lineRule="atLeast"/>
              <w:ind w:firstLine="480"/>
              <w:rPr>
                <w:rFonts w:ascii="宋体"/>
              </w:rPr>
            </w:pPr>
            <w:r>
              <w:rPr>
                <w:rFonts w:hint="eastAsia" w:ascii="宋体"/>
              </w:rPr>
              <w:t>答：公司产品 HWD9213、HWD08B64 等高速高精度A/D转换器已获相关订单，其终端应用为集成电路测试设备、仪器仪表等方向。具体内容详见公司已于2025年9月9日披露《成都华微电子科技股份有限公司关于自愿披露签订日常经营重大合同的公告》（公告编号：2025-031）及《成都华微电子科技股份有限公司关于自愿披露签订日常经营重大合同的补充公告》（公告编号：2025-032）。</w:t>
            </w:r>
          </w:p>
          <w:p w14:paraId="311DE590">
            <w:pPr>
              <w:spacing w:line="480" w:lineRule="atLeast"/>
              <w:ind w:firstLine="480"/>
              <w:rPr>
                <w:rFonts w:ascii="宋体"/>
              </w:rPr>
            </w:pPr>
            <w:r>
              <w:rPr>
                <w:rFonts w:hint="eastAsia" w:ascii="宋体"/>
              </w:rPr>
              <w:t>此外，公司在高速高精度ADC领域持续取得技术突破，2025年9月发布的HWD12B40GA4型4通道12位40GSPS高速高精度射频直采ADC芯片，该产品填补国内高端射频芯片空白，技术指标达国际领先水平，并可广泛应用于卫星通信、雷达探测及高端仪器仪表等领域，已完成部分客户验证。</w:t>
            </w:r>
          </w:p>
          <w:p w14:paraId="6E725C70">
            <w:pPr>
              <w:spacing w:line="480" w:lineRule="atLeast"/>
              <w:ind w:firstLine="482"/>
              <w:rPr>
                <w:rFonts w:ascii="宋体" w:hAnsi="宋体"/>
                <w:b/>
                <w:bCs/>
                <w:iCs/>
                <w:color w:val="000000"/>
              </w:rPr>
            </w:pPr>
            <w:r>
              <w:rPr>
                <w:rFonts w:hint="eastAsia" w:ascii="宋体" w:hAnsi="宋体"/>
                <w:b/>
                <w:bCs/>
                <w:iCs/>
                <w:color w:val="000000"/>
              </w:rPr>
              <w:t>8</w:t>
            </w:r>
            <w:r>
              <w:rPr>
                <w:rFonts w:ascii="宋体" w:hAnsi="宋体"/>
                <w:b/>
                <w:bCs/>
                <w:iCs/>
                <w:color w:val="000000"/>
              </w:rPr>
              <w:t>.</w:t>
            </w:r>
            <w:r>
              <w:rPr>
                <w:rFonts w:hint="eastAsia" w:ascii="宋体" w:hAnsi="宋体"/>
                <w:b/>
                <w:bCs/>
                <w:iCs/>
                <w:color w:val="000000"/>
              </w:rPr>
              <w:t>请问公司产品在端侧算力芯片的布局情况如何？</w:t>
            </w:r>
          </w:p>
          <w:p w14:paraId="2F3914AD">
            <w:pPr>
              <w:spacing w:line="480" w:lineRule="atLeast"/>
              <w:ind w:firstLine="480"/>
              <w:rPr>
                <w:rFonts w:ascii="宋体" w:hAnsi="宋体"/>
                <w:bCs/>
                <w:iCs/>
                <w:color w:val="000000"/>
              </w:rPr>
            </w:pPr>
            <w:r>
              <w:rPr>
                <w:rFonts w:hint="eastAsia" w:ascii="宋体" w:hAnsi="宋体"/>
                <w:bCs/>
                <w:iCs/>
                <w:color w:val="000000"/>
              </w:rPr>
              <w:t>答：公司已经成功开发用于边缘计算领域的人工智能芯片，AI算力高达16Tops，可用于人工智能设备的机器视觉识别、深度学习推理、各种大模型运算，且已在特种行业的多个客户小批量试用。公司用于边缘计算领域，100Tops算力、视频编解码能力高达8K的人工智能芯片也正在研发中。</w:t>
            </w:r>
          </w:p>
        </w:tc>
      </w:tr>
      <w:tr w14:paraId="3173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7AFD6E11">
            <w:pPr>
              <w:ind w:firstLine="0" w:firstLineChars="0"/>
              <w:rPr>
                <w:rFonts w:ascii="宋体" w:hAnsi="宋体"/>
                <w:bCs/>
                <w:iCs/>
                <w:color w:val="000000"/>
              </w:rPr>
            </w:pPr>
            <w:r>
              <w:rPr>
                <w:rFonts w:hint="eastAsia" w:ascii="宋体" w:hAnsi="宋体"/>
                <w:bCs/>
                <w:iCs/>
                <w:color w:val="000000"/>
              </w:rPr>
              <w:t>关于本次活动是否涉及应当披露重大信息的说明</w:t>
            </w:r>
          </w:p>
        </w:tc>
        <w:tc>
          <w:tcPr>
            <w:tcW w:w="7585" w:type="dxa"/>
            <w:tcBorders>
              <w:top w:val="single" w:color="auto" w:sz="4" w:space="0"/>
              <w:left w:val="single" w:color="auto" w:sz="4" w:space="0"/>
              <w:bottom w:val="single" w:color="auto" w:sz="4" w:space="0"/>
              <w:right w:val="single" w:color="auto" w:sz="4" w:space="0"/>
            </w:tcBorders>
            <w:vAlign w:val="center"/>
          </w:tcPr>
          <w:p w14:paraId="464ABA3E">
            <w:pPr>
              <w:spacing w:line="480" w:lineRule="atLeast"/>
              <w:ind w:firstLine="0" w:firstLineChars="0"/>
              <w:rPr>
                <w:rFonts w:ascii="宋体" w:hAnsi="宋体"/>
                <w:bCs/>
                <w:iCs/>
                <w:color w:val="000000"/>
              </w:rPr>
            </w:pPr>
            <w:r>
              <w:rPr>
                <w:rFonts w:hint="eastAsia" w:ascii="宋体" w:hAnsi="宋体"/>
                <w:bCs/>
                <w:iCs/>
                <w:color w:val="000000"/>
              </w:rPr>
              <w:t>否</w:t>
            </w:r>
          </w:p>
        </w:tc>
      </w:tr>
      <w:tr w14:paraId="2230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6F0E083E">
            <w:pPr>
              <w:ind w:firstLine="0" w:firstLineChars="0"/>
              <w:rPr>
                <w:rFonts w:ascii="宋体" w:hAnsi="宋体"/>
                <w:bCs/>
                <w:iCs/>
                <w:color w:val="000000"/>
              </w:rPr>
            </w:pPr>
            <w:r>
              <w:rPr>
                <w:rFonts w:hint="eastAsia" w:ascii="宋体" w:hAnsi="宋体"/>
                <w:bCs/>
                <w:iCs/>
                <w:color w:val="000000"/>
              </w:rPr>
              <w:t>附件清单（如有）</w:t>
            </w:r>
          </w:p>
        </w:tc>
        <w:tc>
          <w:tcPr>
            <w:tcW w:w="7585" w:type="dxa"/>
            <w:tcBorders>
              <w:top w:val="single" w:color="auto" w:sz="4" w:space="0"/>
              <w:left w:val="single" w:color="auto" w:sz="4" w:space="0"/>
              <w:bottom w:val="single" w:color="auto" w:sz="4" w:space="0"/>
              <w:right w:val="single" w:color="auto" w:sz="4" w:space="0"/>
            </w:tcBorders>
            <w:vAlign w:val="center"/>
          </w:tcPr>
          <w:p w14:paraId="782A0515">
            <w:pPr>
              <w:spacing w:line="240" w:lineRule="auto"/>
              <w:ind w:firstLine="0" w:firstLineChars="0"/>
              <w:rPr>
                <w:rFonts w:ascii="宋体" w:hAnsi="宋体"/>
                <w:bCs/>
                <w:iCs/>
                <w:color w:val="000000"/>
              </w:rPr>
            </w:pPr>
            <w:r>
              <w:rPr>
                <w:rFonts w:ascii="宋体" w:hAnsi="宋体"/>
                <w:bCs/>
                <w:iCs/>
                <w:color w:val="000000"/>
              </w:rPr>
              <w:t>无</w:t>
            </w:r>
          </w:p>
        </w:tc>
      </w:tr>
      <w:tr w14:paraId="624A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28919BD5">
            <w:pPr>
              <w:ind w:firstLine="0" w:firstLineChars="0"/>
              <w:rPr>
                <w:rFonts w:ascii="宋体" w:hAnsi="宋体"/>
                <w:bCs/>
                <w:iCs/>
                <w:color w:val="000000"/>
              </w:rPr>
            </w:pPr>
            <w:r>
              <w:rPr>
                <w:rFonts w:hint="eastAsia" w:ascii="宋体" w:hAnsi="宋体"/>
                <w:bCs/>
                <w:iCs/>
                <w:color w:val="000000"/>
              </w:rPr>
              <w:t>日期</w:t>
            </w:r>
          </w:p>
        </w:tc>
        <w:tc>
          <w:tcPr>
            <w:tcW w:w="7585" w:type="dxa"/>
            <w:tcBorders>
              <w:top w:val="single" w:color="auto" w:sz="4" w:space="0"/>
              <w:left w:val="single" w:color="auto" w:sz="4" w:space="0"/>
              <w:bottom w:val="single" w:color="auto" w:sz="4" w:space="0"/>
              <w:right w:val="single" w:color="auto" w:sz="4" w:space="0"/>
            </w:tcBorders>
            <w:vAlign w:val="center"/>
          </w:tcPr>
          <w:p w14:paraId="23D7DAAC">
            <w:pPr>
              <w:spacing w:line="240" w:lineRule="auto"/>
              <w:ind w:firstLine="0" w:firstLineChars="0"/>
              <w:rPr>
                <w:rFonts w:ascii="宋体" w:hAnsi="宋体"/>
                <w:bCs/>
                <w:iCs/>
                <w:color w:val="000000"/>
              </w:rPr>
            </w:pPr>
            <w:r>
              <w:rPr>
                <w:rFonts w:hint="eastAsia" w:ascii="宋体" w:hAnsi="宋体"/>
                <w:bCs/>
                <w:iCs/>
                <w:color w:val="000000"/>
              </w:rPr>
              <w:t>2</w:t>
            </w:r>
            <w:r>
              <w:rPr>
                <w:rFonts w:ascii="宋体" w:hAnsi="宋体"/>
                <w:bCs/>
                <w:iCs/>
                <w:color w:val="000000"/>
              </w:rPr>
              <w:t>02</w:t>
            </w:r>
            <w:r>
              <w:rPr>
                <w:rFonts w:hint="eastAsia" w:ascii="宋体" w:hAnsi="宋体"/>
                <w:bCs/>
                <w:iCs/>
                <w:color w:val="000000"/>
              </w:rPr>
              <w:t>5</w:t>
            </w:r>
            <w:r>
              <w:rPr>
                <w:rFonts w:ascii="宋体" w:hAnsi="宋体"/>
                <w:bCs/>
                <w:iCs/>
                <w:color w:val="000000"/>
              </w:rPr>
              <w:t>年</w:t>
            </w:r>
            <w:r>
              <w:rPr>
                <w:rFonts w:hint="eastAsia" w:ascii="宋体" w:hAnsi="宋体"/>
                <w:bCs/>
                <w:iCs/>
                <w:color w:val="000000"/>
              </w:rPr>
              <w:t>12月22日</w:t>
            </w:r>
          </w:p>
        </w:tc>
      </w:tr>
    </w:tbl>
    <w:p w14:paraId="641F3171">
      <w:pPr>
        <w:ind w:firstLine="0" w:firstLineChars="0"/>
      </w:pPr>
    </w:p>
    <w:p w14:paraId="0CAED377">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37" w:footer="680"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DE3CD">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8F891">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2F86C">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EB773">
    <w:pPr>
      <w:pStyle w:val="5"/>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A57F4">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4F3E">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85"/>
    <w:rsid w:val="000556CB"/>
    <w:rsid w:val="00056581"/>
    <w:rsid w:val="000976B9"/>
    <w:rsid w:val="000A1104"/>
    <w:rsid w:val="000A6467"/>
    <w:rsid w:val="000E6085"/>
    <w:rsid w:val="001170C8"/>
    <w:rsid w:val="00126886"/>
    <w:rsid w:val="002078A6"/>
    <w:rsid w:val="002244E6"/>
    <w:rsid w:val="00232598"/>
    <w:rsid w:val="0025203B"/>
    <w:rsid w:val="002722F7"/>
    <w:rsid w:val="00294383"/>
    <w:rsid w:val="002E47EA"/>
    <w:rsid w:val="002E710B"/>
    <w:rsid w:val="002F3275"/>
    <w:rsid w:val="0030054C"/>
    <w:rsid w:val="003A1AA7"/>
    <w:rsid w:val="003A3201"/>
    <w:rsid w:val="003C22FB"/>
    <w:rsid w:val="003C6BD5"/>
    <w:rsid w:val="003D1A89"/>
    <w:rsid w:val="003E4274"/>
    <w:rsid w:val="00407727"/>
    <w:rsid w:val="00424494"/>
    <w:rsid w:val="0049001D"/>
    <w:rsid w:val="004C6371"/>
    <w:rsid w:val="004D270C"/>
    <w:rsid w:val="004D6C13"/>
    <w:rsid w:val="004F0D06"/>
    <w:rsid w:val="00573C72"/>
    <w:rsid w:val="005906BD"/>
    <w:rsid w:val="0059386C"/>
    <w:rsid w:val="005C088F"/>
    <w:rsid w:val="005C1BC8"/>
    <w:rsid w:val="005E007C"/>
    <w:rsid w:val="00607E55"/>
    <w:rsid w:val="006732DE"/>
    <w:rsid w:val="00681C28"/>
    <w:rsid w:val="007135D8"/>
    <w:rsid w:val="0071455E"/>
    <w:rsid w:val="00717B64"/>
    <w:rsid w:val="00741A8B"/>
    <w:rsid w:val="00750ABC"/>
    <w:rsid w:val="00762F85"/>
    <w:rsid w:val="0077423E"/>
    <w:rsid w:val="007B1380"/>
    <w:rsid w:val="007B3DFD"/>
    <w:rsid w:val="007C23C5"/>
    <w:rsid w:val="007E705A"/>
    <w:rsid w:val="008032EE"/>
    <w:rsid w:val="00852B80"/>
    <w:rsid w:val="00862461"/>
    <w:rsid w:val="00863674"/>
    <w:rsid w:val="008C4815"/>
    <w:rsid w:val="008D0E94"/>
    <w:rsid w:val="008D5AC3"/>
    <w:rsid w:val="009056AA"/>
    <w:rsid w:val="00913A5C"/>
    <w:rsid w:val="00913A87"/>
    <w:rsid w:val="00936416"/>
    <w:rsid w:val="00976D60"/>
    <w:rsid w:val="00995708"/>
    <w:rsid w:val="009D31F3"/>
    <w:rsid w:val="009D69F1"/>
    <w:rsid w:val="009F4EAE"/>
    <w:rsid w:val="00A2210A"/>
    <w:rsid w:val="00A2466B"/>
    <w:rsid w:val="00A34261"/>
    <w:rsid w:val="00A9636F"/>
    <w:rsid w:val="00AC38B8"/>
    <w:rsid w:val="00AE6151"/>
    <w:rsid w:val="00B33DD1"/>
    <w:rsid w:val="00B345DD"/>
    <w:rsid w:val="00BB7366"/>
    <w:rsid w:val="00BC270F"/>
    <w:rsid w:val="00BE7BDA"/>
    <w:rsid w:val="00C16F23"/>
    <w:rsid w:val="00C26E7A"/>
    <w:rsid w:val="00C3377D"/>
    <w:rsid w:val="00C35507"/>
    <w:rsid w:val="00C57F38"/>
    <w:rsid w:val="00C819D3"/>
    <w:rsid w:val="00CA1B46"/>
    <w:rsid w:val="00D172CA"/>
    <w:rsid w:val="00D523F8"/>
    <w:rsid w:val="00D95A0F"/>
    <w:rsid w:val="00DA0DD4"/>
    <w:rsid w:val="00DA5F87"/>
    <w:rsid w:val="00DB69E9"/>
    <w:rsid w:val="00DC7F3A"/>
    <w:rsid w:val="00DD61D2"/>
    <w:rsid w:val="00DF4A67"/>
    <w:rsid w:val="00E032EE"/>
    <w:rsid w:val="00E052E5"/>
    <w:rsid w:val="00E12EB3"/>
    <w:rsid w:val="00E54BAB"/>
    <w:rsid w:val="00E90A2E"/>
    <w:rsid w:val="00E93B12"/>
    <w:rsid w:val="00EB2E10"/>
    <w:rsid w:val="00EE0060"/>
    <w:rsid w:val="00EF6B6A"/>
    <w:rsid w:val="00F32FAD"/>
    <w:rsid w:val="00F47DEC"/>
    <w:rsid w:val="01D07000"/>
    <w:rsid w:val="12FD2FDA"/>
    <w:rsid w:val="15823158"/>
    <w:rsid w:val="1D0D3BB9"/>
    <w:rsid w:val="1D1A6E07"/>
    <w:rsid w:val="330E0B2C"/>
    <w:rsid w:val="4C2743A9"/>
    <w:rsid w:val="4DEE5590"/>
    <w:rsid w:val="5B0E447D"/>
    <w:rsid w:val="659D4931"/>
    <w:rsid w:val="67DF6F78"/>
    <w:rsid w:val="690D7342"/>
    <w:rsid w:val="6BC10C91"/>
    <w:rsid w:val="7B5E22E9"/>
    <w:rsid w:val="7FD45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8"/>
    <w:semiHidden/>
    <w:unhideWhenUsed/>
    <w:qFormat/>
    <w:uiPriority w:val="99"/>
    <w:pPr>
      <w:spacing w:line="240" w:lineRule="auto"/>
    </w:pPr>
    <w:rPr>
      <w:sz w:val="18"/>
      <w:szCs w:val="18"/>
    </w:rPr>
  </w:style>
  <w:style w:type="paragraph" w:styleId="4">
    <w:name w:val="footer"/>
    <w:basedOn w:val="1"/>
    <w:link w:val="12"/>
    <w:qFormat/>
    <w:uiPriority w:val="0"/>
    <w:pPr>
      <w:tabs>
        <w:tab w:val="center" w:pos="4153"/>
        <w:tab w:val="right" w:pos="8306"/>
      </w:tabs>
      <w:snapToGrid w:val="0"/>
      <w:jc w:val="left"/>
    </w:pPr>
    <w:rPr>
      <w:sz w:val="18"/>
    </w:rPr>
  </w:style>
  <w:style w:type="paragraph" w:styleId="5">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脚 Char"/>
    <w:basedOn w:val="10"/>
    <w:link w:val="4"/>
    <w:qFormat/>
    <w:uiPriority w:val="0"/>
    <w:rPr>
      <w:rFonts w:ascii="Times New Roman" w:hAnsi="Times New Roman" w:eastAsia="宋体" w:cs="Times New Roman"/>
      <w:sz w:val="18"/>
      <w:szCs w:val="24"/>
    </w:rPr>
  </w:style>
  <w:style w:type="character" w:customStyle="1" w:styleId="13">
    <w:name w:val="页眉 Char"/>
    <w:basedOn w:val="10"/>
    <w:link w:val="5"/>
    <w:qFormat/>
    <w:uiPriority w:val="0"/>
    <w:rPr>
      <w:rFonts w:ascii="Times New Roman" w:hAnsi="Times New Roman" w:eastAsia="宋体" w:cs="Times New Roman"/>
      <w:sz w:val="18"/>
      <w:szCs w:val="24"/>
    </w:rPr>
  </w:style>
  <w:style w:type="paragraph" w:styleId="14">
    <w:name w:val="List Paragraph"/>
    <w:basedOn w:val="1"/>
    <w:qFormat/>
    <w:uiPriority w:val="34"/>
    <w:pPr>
      <w:ind w:firstLine="420"/>
    </w:pPr>
  </w:style>
  <w:style w:type="paragraph" w:customStyle="1" w:styleId="15">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16">
    <w:name w:val="批注文字 Char"/>
    <w:basedOn w:val="10"/>
    <w:link w:val="2"/>
    <w:semiHidden/>
    <w:qFormat/>
    <w:uiPriority w:val="99"/>
    <w:rPr>
      <w:kern w:val="2"/>
      <w:sz w:val="24"/>
      <w:szCs w:val="24"/>
    </w:rPr>
  </w:style>
  <w:style w:type="character" w:customStyle="1" w:styleId="17">
    <w:name w:val="批注主题 Char"/>
    <w:basedOn w:val="16"/>
    <w:link w:val="7"/>
    <w:semiHidden/>
    <w:qFormat/>
    <w:uiPriority w:val="99"/>
    <w:rPr>
      <w:b/>
      <w:bCs/>
      <w:kern w:val="2"/>
      <w:sz w:val="24"/>
      <w:szCs w:val="24"/>
    </w:rPr>
  </w:style>
  <w:style w:type="character" w:customStyle="1" w:styleId="18">
    <w:name w:val="批注框文本 Char"/>
    <w:basedOn w:val="10"/>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3075</Words>
  <Characters>3429</Characters>
  <Lines>26</Lines>
  <Paragraphs>7</Paragraphs>
  <TotalTime>6</TotalTime>
  <ScaleCrop>false</ScaleCrop>
  <LinksUpToDate>false</LinksUpToDate>
  <CharactersWithSpaces>3603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2025-12-22T06:37:00Z</dcterms:created>
  <dc:creator>user</dc:creator>
  <cp:lastModifiedBy>蔡进</cp:lastModifiedBy>
  <dcterms:modified xsi:type="dcterms:W3CDTF">2025-12-22T08:43:15Z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eyJoZGlkIjoiMGVmN2U4NDM5MmVmMmVkOWVhZDQ2YzZmMzVlMjc2MTgiLCJ1c2VySWQiOiIyMDEyMTU1OTEifQ==</vt:lpwstr>
  </property>
  <property fmtid="{D5CDD505-2E9C-101B-9397-08002B2CF9AE}" pid="3" name="KSOProductBuildVer">
    <vt:lpwstr>2052-12.1.0.21915</vt:lpwstr>
  </property>
  <property fmtid="{D5CDD505-2E9C-101B-9397-08002B2CF9AE}" pid="4" name="ICV">
    <vt:lpwstr>291E62C9CEB442769E6860B1328C53D2_13</vt:lpwstr>
  </property>
</Properties>
</file>