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1920B">
      <w:pPr>
        <w:spacing w:before="156" w:beforeLines="50" w:after="156" w:afterLines="50" w:line="400" w:lineRule="exact"/>
        <w:ind w:firstLine="0" w:firstLineChars="0"/>
        <w:rPr>
          <w:bCs/>
          <w:iCs/>
          <w:color w:val="000000"/>
          <w:szCs w:val="22"/>
        </w:rPr>
      </w:pPr>
      <w:r>
        <w:rPr>
          <w:bCs/>
          <w:iCs/>
          <w:color w:val="000000"/>
          <w:szCs w:val="22"/>
        </w:rPr>
        <w:t>证券代码：688273                                     证券简称：麦澜德</w:t>
      </w:r>
    </w:p>
    <w:p w14:paraId="37803F67">
      <w:pPr>
        <w:ind w:firstLine="0" w:firstLineChars="0"/>
        <w:jc w:val="center"/>
        <w:rPr>
          <w:b/>
          <w:bCs/>
          <w:iCs/>
          <w:color w:val="000000"/>
        </w:rPr>
      </w:pPr>
      <w:r>
        <w:rPr>
          <w:b/>
          <w:bCs/>
          <w:iCs/>
          <w:color w:val="000000"/>
          <w:sz w:val="28"/>
          <w:szCs w:val="28"/>
        </w:rPr>
        <w:t>南京麦澜德医疗科技股份有限公司投资者关系活动记录表</w:t>
      </w:r>
    </w:p>
    <w:p w14:paraId="737512B5">
      <w:pPr>
        <w:ind w:firstLine="0" w:firstLineChars="0"/>
        <w:jc w:val="center"/>
        <w:rPr>
          <w:b/>
          <w:bCs/>
          <w:iCs/>
          <w:color w:val="000000"/>
        </w:rPr>
      </w:pPr>
      <w:r>
        <w:rPr>
          <w:b/>
          <w:bCs/>
          <w:iCs/>
          <w:color w:val="000000"/>
        </w:rPr>
        <w:t>（</w:t>
      </w:r>
      <w:bookmarkStart w:id="0" w:name="OLE_LINK2"/>
      <w:bookmarkStart w:id="1" w:name="OLE_LINK1"/>
      <w:r>
        <w:rPr>
          <w:b/>
          <w:bCs/>
          <w:iCs/>
          <w:color w:val="000000"/>
        </w:rPr>
        <w:t>2025年</w:t>
      </w:r>
      <w:r>
        <w:rPr>
          <w:rFonts w:hint="eastAsia"/>
          <w:b/>
          <w:bCs/>
          <w:iCs/>
          <w:color w:val="000000"/>
          <w:lang w:val="en-US" w:eastAsia="zh-CN"/>
        </w:rPr>
        <w:t>12</w:t>
      </w:r>
      <w:r>
        <w:rPr>
          <w:b/>
          <w:bCs/>
          <w:iCs/>
          <w:color w:val="000000"/>
        </w:rPr>
        <w:t>月</w:t>
      </w:r>
      <w:r>
        <w:rPr>
          <w:rFonts w:hint="eastAsia"/>
          <w:b/>
          <w:bCs/>
          <w:iCs/>
          <w:color w:val="000000"/>
          <w:lang w:val="en-US" w:eastAsia="zh-CN"/>
        </w:rPr>
        <w:t>22</w:t>
      </w:r>
      <w:r>
        <w:rPr>
          <w:b/>
          <w:bCs/>
          <w:iCs/>
          <w:color w:val="000000"/>
        </w:rPr>
        <w:t>日</w:t>
      </w:r>
      <w:bookmarkEnd w:id="0"/>
      <w:bookmarkEnd w:id="1"/>
      <w:r>
        <w:rPr>
          <w:rFonts w:hint="eastAsia"/>
          <w:b/>
          <w:bCs/>
          <w:iCs/>
          <w:color w:val="000000"/>
          <w:lang w:val="en-US" w:eastAsia="zh-CN"/>
        </w:rPr>
        <w:t>-23日</w:t>
      </w:r>
      <w:r>
        <w:rPr>
          <w:b/>
          <w:bCs/>
          <w:iCs/>
          <w:color w:val="000000"/>
        </w:rPr>
        <w:t>）</w:t>
      </w:r>
    </w:p>
    <w:tbl>
      <w:tblPr>
        <w:tblStyle w:val="9"/>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025"/>
      </w:tblGrid>
      <w:tr w14:paraId="5078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AAB9E4B">
            <w:pPr>
              <w:spacing w:line="400" w:lineRule="exact"/>
              <w:ind w:firstLine="480"/>
              <w:rPr>
                <w:bCs/>
                <w:iCs/>
                <w:color w:val="000000"/>
              </w:rPr>
            </w:pPr>
            <w:r>
              <w:rPr>
                <w:bCs/>
                <w:iCs/>
                <w:color w:val="000000"/>
              </w:rPr>
              <w:t xml:space="preserve">                                                  投资者关系活动类别</w:t>
            </w:r>
          </w:p>
          <w:p w14:paraId="166A8761">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38A4179">
            <w:pPr>
              <w:spacing w:line="480" w:lineRule="atLeast"/>
              <w:ind w:firstLine="0" w:firstLineChars="0"/>
              <w:rPr>
                <w:bCs/>
                <w:iCs/>
                <w:color w:val="000000"/>
              </w:rPr>
            </w:pPr>
            <w:r>
              <w:rPr>
                <w:rFonts w:hint="eastAsia" w:ascii="宋体" w:hAnsi="宋体"/>
                <w:bCs/>
                <w:iCs/>
                <w:color w:val="000000"/>
              </w:rPr>
              <w:sym w:font="Wingdings 2" w:char="0052"/>
            </w:r>
            <w:r>
              <w:t xml:space="preserve">特定对象调研       </w:t>
            </w:r>
            <w:r>
              <w:rPr>
                <w:rFonts w:hint="eastAsia"/>
              </w:rPr>
              <w:t xml:space="preserve"> </w:t>
            </w:r>
            <w:r>
              <w:rPr>
                <w:bCs/>
                <w:iCs/>
                <w:color w:val="000000"/>
              </w:rPr>
              <w:sym w:font="Wingdings 2" w:char="00A3"/>
            </w:r>
            <w:r>
              <w:t>分析师会议</w:t>
            </w:r>
          </w:p>
          <w:p w14:paraId="721D8223">
            <w:pPr>
              <w:spacing w:line="480" w:lineRule="atLeast"/>
              <w:ind w:firstLine="0" w:firstLineChars="0"/>
              <w:rPr>
                <w:bCs/>
                <w:iCs/>
                <w:color w:val="000000"/>
              </w:rPr>
            </w:pPr>
            <w:r>
              <w:rPr>
                <w:bCs/>
                <w:iCs/>
                <w:color w:val="000000"/>
              </w:rPr>
              <w:sym w:font="Wingdings 2" w:char="00A3"/>
            </w:r>
            <w:r>
              <w:t xml:space="preserve">媒体采访            </w:t>
            </w:r>
            <w:r>
              <w:rPr>
                <w:bCs/>
                <w:iCs/>
                <w:color w:val="000000"/>
              </w:rPr>
              <w:sym w:font="Wingdings 2" w:char="00A3"/>
            </w:r>
            <w:r>
              <w:t>业绩说明会</w:t>
            </w:r>
          </w:p>
          <w:p w14:paraId="025BCE2D">
            <w:pPr>
              <w:spacing w:line="480" w:lineRule="atLeast"/>
              <w:ind w:firstLine="0" w:firstLineChars="0"/>
              <w:rPr>
                <w:bCs/>
                <w:iCs/>
                <w:color w:val="000000"/>
              </w:rPr>
            </w:pPr>
            <w:r>
              <w:rPr>
                <w:bCs/>
                <w:iCs/>
                <w:color w:val="000000"/>
              </w:rPr>
              <w:sym w:font="Wingdings 2" w:char="00A3"/>
            </w:r>
            <w:r>
              <w:t xml:space="preserve">新闻发布会          </w:t>
            </w:r>
            <w:r>
              <w:rPr>
                <w:rFonts w:hint="eastAsia" w:ascii="宋体" w:hAnsi="宋体"/>
                <w:bCs/>
                <w:iCs/>
                <w:color w:val="000000"/>
                <w:lang w:eastAsia="zh-CN"/>
              </w:rPr>
              <w:t>□</w:t>
            </w:r>
            <w:r>
              <w:t>路演活动</w:t>
            </w:r>
          </w:p>
          <w:p w14:paraId="3BCC2C60">
            <w:pPr>
              <w:tabs>
                <w:tab w:val="left" w:pos="3045"/>
                <w:tab w:val="center" w:pos="3199"/>
              </w:tabs>
              <w:spacing w:line="480" w:lineRule="atLeast"/>
              <w:ind w:firstLine="0" w:firstLineChars="0"/>
              <w:rPr>
                <w:bCs/>
                <w:iCs/>
                <w:color w:val="000000"/>
                <w:u w:val="single"/>
              </w:rPr>
            </w:pPr>
            <w:r>
              <w:rPr>
                <w:rFonts w:hint="eastAsia" w:ascii="宋体" w:hAnsi="宋体"/>
                <w:bCs/>
                <w:iCs/>
                <w:color w:val="000000"/>
              </w:rPr>
              <w:sym w:font="Wingdings 2" w:char="00A3"/>
            </w:r>
            <w:r>
              <w:t>现场参观</w:t>
            </w:r>
            <w:r>
              <w:rPr>
                <w:rFonts w:hint="eastAsia"/>
              </w:rPr>
              <w:t xml:space="preserve">           </w:t>
            </w:r>
            <w:r>
              <w:t xml:space="preserve"> </w:t>
            </w:r>
            <w:r>
              <w:rPr>
                <w:rFonts w:hint="eastAsia" w:ascii="宋体" w:hAnsi="宋体"/>
                <w:bCs/>
                <w:iCs/>
                <w:color w:val="000000"/>
              </w:rPr>
              <w:t>□</w:t>
            </w:r>
            <w:r>
              <w:t xml:space="preserve">其他 </w:t>
            </w:r>
          </w:p>
        </w:tc>
      </w:tr>
      <w:tr w14:paraId="1BE8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4677410">
            <w:pPr>
              <w:ind w:firstLine="0" w:firstLineChars="0"/>
              <w:rPr>
                <w:bCs/>
                <w:iCs/>
                <w:color w:val="000000"/>
              </w:rPr>
            </w:pPr>
            <w:r>
              <w:rPr>
                <w:bCs/>
                <w:iCs/>
                <w:color w:val="000000"/>
              </w:rPr>
              <w:t>参与单位名称</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50C1853A">
            <w:pPr>
              <w:ind w:firstLine="0" w:firstLineChars="0"/>
              <w:rPr>
                <w:rFonts w:hint="default" w:eastAsia="宋体"/>
                <w:lang w:val="en-US" w:eastAsia="zh-CN"/>
              </w:rPr>
            </w:pPr>
            <w:r>
              <w:rPr>
                <w:rFonts w:hint="eastAsia"/>
                <w:lang w:val="en-US" w:eastAsia="zh-CN"/>
              </w:rPr>
              <w:t>共48家机构，50位参与人</w:t>
            </w:r>
          </w:p>
          <w:p w14:paraId="764723B7">
            <w:pPr>
              <w:ind w:firstLine="0" w:firstLineChars="0"/>
              <w:rPr>
                <w:rFonts w:hint="default" w:eastAsia="宋体"/>
                <w:lang w:val="en-US" w:eastAsia="zh-CN"/>
              </w:rPr>
            </w:pPr>
            <w:r>
              <w:rPr>
                <w:rFonts w:hint="default" w:eastAsia="宋体"/>
                <w:lang w:val="en-US" w:eastAsia="zh-CN"/>
              </w:rPr>
              <w:t>天风证券</w:t>
            </w:r>
            <w:r>
              <w:rPr>
                <w:rFonts w:hint="eastAsia"/>
                <w:lang w:val="en-US" w:eastAsia="zh-CN"/>
              </w:rPr>
              <w:t>、</w:t>
            </w:r>
            <w:r>
              <w:rPr>
                <w:rFonts w:hint="default" w:eastAsia="宋体"/>
                <w:lang w:val="en-US" w:eastAsia="zh-CN"/>
              </w:rPr>
              <w:t>国新证券</w:t>
            </w:r>
            <w:r>
              <w:rPr>
                <w:rFonts w:hint="eastAsia"/>
                <w:lang w:val="en-US" w:eastAsia="zh-CN"/>
              </w:rPr>
              <w:t>、</w:t>
            </w:r>
            <w:r>
              <w:rPr>
                <w:rFonts w:hint="default" w:eastAsia="宋体"/>
                <w:lang w:val="en-US" w:eastAsia="zh-CN"/>
              </w:rPr>
              <w:t>海通资管</w:t>
            </w:r>
            <w:r>
              <w:rPr>
                <w:rFonts w:hint="eastAsia"/>
                <w:lang w:val="en-US" w:eastAsia="zh-CN"/>
              </w:rPr>
              <w:t>、</w:t>
            </w:r>
            <w:r>
              <w:rPr>
                <w:rFonts w:hint="default" w:eastAsia="宋体"/>
                <w:lang w:val="en-US" w:eastAsia="zh-CN"/>
              </w:rPr>
              <w:t>博时基金</w:t>
            </w:r>
            <w:r>
              <w:rPr>
                <w:rFonts w:hint="eastAsia"/>
                <w:lang w:val="en-US" w:eastAsia="zh-CN"/>
              </w:rPr>
              <w:t>、</w:t>
            </w:r>
            <w:r>
              <w:rPr>
                <w:rFonts w:hint="default" w:eastAsia="宋体"/>
                <w:lang w:val="en-US" w:eastAsia="zh-CN"/>
              </w:rPr>
              <w:t>恒复投资</w:t>
            </w:r>
            <w:r>
              <w:rPr>
                <w:rFonts w:hint="eastAsia"/>
                <w:lang w:val="en-US" w:eastAsia="zh-CN"/>
              </w:rPr>
              <w:t>、</w:t>
            </w:r>
            <w:r>
              <w:rPr>
                <w:rFonts w:hint="default" w:eastAsia="宋体"/>
                <w:lang w:val="en-US" w:eastAsia="zh-CN"/>
              </w:rPr>
              <w:t>季胜投资</w:t>
            </w:r>
            <w:r>
              <w:rPr>
                <w:rFonts w:hint="eastAsia"/>
                <w:lang w:val="en-US" w:eastAsia="zh-CN"/>
              </w:rPr>
              <w:t>、</w:t>
            </w:r>
            <w:r>
              <w:rPr>
                <w:rFonts w:hint="default" w:eastAsia="宋体"/>
                <w:lang w:val="en-US" w:eastAsia="zh-CN"/>
              </w:rPr>
              <w:t>青骊投资</w:t>
            </w:r>
            <w:r>
              <w:rPr>
                <w:rFonts w:hint="eastAsia"/>
                <w:lang w:val="en-US" w:eastAsia="zh-CN"/>
              </w:rPr>
              <w:t>、</w:t>
            </w:r>
            <w:r>
              <w:rPr>
                <w:rFonts w:hint="default" w:eastAsia="宋体"/>
                <w:lang w:val="en-US" w:eastAsia="zh-CN"/>
              </w:rPr>
              <w:t>合煦智远基金</w:t>
            </w:r>
            <w:r>
              <w:rPr>
                <w:rFonts w:hint="eastAsia"/>
                <w:lang w:val="en-US" w:eastAsia="zh-CN"/>
              </w:rPr>
              <w:t>、</w:t>
            </w:r>
            <w:r>
              <w:rPr>
                <w:rFonts w:hint="default" w:eastAsia="宋体"/>
                <w:lang w:val="en-US" w:eastAsia="zh-CN"/>
              </w:rPr>
              <w:t>汇添富基金</w:t>
            </w:r>
            <w:r>
              <w:rPr>
                <w:rFonts w:hint="eastAsia"/>
                <w:lang w:val="en-US" w:eastAsia="zh-CN"/>
              </w:rPr>
              <w:t>、</w:t>
            </w:r>
            <w:r>
              <w:rPr>
                <w:rFonts w:hint="default" w:eastAsia="宋体"/>
                <w:lang w:val="en-US" w:eastAsia="zh-CN"/>
              </w:rPr>
              <w:t>益恒投资</w:t>
            </w:r>
            <w:r>
              <w:rPr>
                <w:rFonts w:hint="eastAsia"/>
                <w:lang w:val="en-US" w:eastAsia="zh-CN"/>
              </w:rPr>
              <w:t>、</w:t>
            </w:r>
            <w:r>
              <w:rPr>
                <w:rFonts w:hint="default" w:eastAsia="宋体"/>
                <w:lang w:val="en-US" w:eastAsia="zh-CN"/>
              </w:rPr>
              <w:t>人保资产</w:t>
            </w:r>
            <w:r>
              <w:rPr>
                <w:rFonts w:hint="eastAsia"/>
                <w:lang w:val="en-US" w:eastAsia="zh-CN"/>
              </w:rPr>
              <w:t>、</w:t>
            </w:r>
            <w:r>
              <w:rPr>
                <w:rFonts w:hint="default" w:eastAsia="宋体"/>
                <w:lang w:val="en-US" w:eastAsia="zh-CN"/>
              </w:rPr>
              <w:t>混沌投资</w:t>
            </w:r>
            <w:r>
              <w:rPr>
                <w:rFonts w:hint="eastAsia"/>
                <w:lang w:val="en-US" w:eastAsia="zh-CN"/>
              </w:rPr>
              <w:t>、</w:t>
            </w:r>
            <w:r>
              <w:rPr>
                <w:rFonts w:hint="default" w:eastAsia="宋体"/>
                <w:lang w:val="en-US" w:eastAsia="zh-CN"/>
              </w:rPr>
              <w:t>敦和资产</w:t>
            </w:r>
            <w:r>
              <w:rPr>
                <w:rFonts w:hint="eastAsia"/>
                <w:lang w:val="en-US" w:eastAsia="zh-CN"/>
              </w:rPr>
              <w:t>、</w:t>
            </w:r>
            <w:r>
              <w:rPr>
                <w:rFonts w:hint="default" w:eastAsia="宋体"/>
                <w:lang w:val="en-US" w:eastAsia="zh-CN"/>
              </w:rPr>
              <w:t>中银基金</w:t>
            </w:r>
            <w:r>
              <w:rPr>
                <w:rFonts w:hint="eastAsia"/>
                <w:lang w:val="en-US" w:eastAsia="zh-CN"/>
              </w:rPr>
              <w:t>、</w:t>
            </w:r>
            <w:r>
              <w:rPr>
                <w:rFonts w:hint="default" w:eastAsia="宋体"/>
                <w:lang w:val="en-US" w:eastAsia="zh-CN"/>
              </w:rPr>
              <w:t>国金基金</w:t>
            </w:r>
            <w:r>
              <w:rPr>
                <w:rFonts w:hint="eastAsia"/>
                <w:lang w:val="en-US" w:eastAsia="zh-CN"/>
              </w:rPr>
              <w:t>、</w:t>
            </w:r>
            <w:r>
              <w:rPr>
                <w:rFonts w:hint="default" w:eastAsia="宋体"/>
                <w:lang w:val="en-US" w:eastAsia="zh-CN"/>
              </w:rPr>
              <w:t>朋元资产</w:t>
            </w:r>
            <w:r>
              <w:rPr>
                <w:rFonts w:hint="eastAsia"/>
                <w:lang w:val="en-US" w:eastAsia="zh-CN"/>
              </w:rPr>
              <w:t>、</w:t>
            </w:r>
            <w:r>
              <w:rPr>
                <w:rFonts w:hint="default" w:eastAsia="宋体"/>
                <w:lang w:val="en-US" w:eastAsia="zh-CN"/>
              </w:rPr>
              <w:t>中信证券</w:t>
            </w:r>
            <w:r>
              <w:rPr>
                <w:rFonts w:hint="eastAsia"/>
                <w:lang w:val="en-US" w:eastAsia="zh-CN"/>
              </w:rPr>
              <w:t>、</w:t>
            </w:r>
            <w:r>
              <w:rPr>
                <w:rFonts w:hint="default" w:eastAsia="宋体"/>
                <w:lang w:val="en-US" w:eastAsia="zh-CN"/>
              </w:rPr>
              <w:t>循远资产</w:t>
            </w:r>
            <w:r>
              <w:rPr>
                <w:rFonts w:hint="eastAsia"/>
                <w:lang w:val="en-US" w:eastAsia="zh-CN"/>
              </w:rPr>
              <w:t>、</w:t>
            </w:r>
            <w:r>
              <w:rPr>
                <w:rFonts w:hint="default" w:eastAsia="宋体"/>
                <w:lang w:val="en-US" w:eastAsia="zh-CN"/>
              </w:rPr>
              <w:t>国都证券</w:t>
            </w:r>
            <w:r>
              <w:rPr>
                <w:rFonts w:hint="eastAsia"/>
                <w:lang w:val="en-US" w:eastAsia="zh-CN"/>
              </w:rPr>
              <w:t>、</w:t>
            </w:r>
            <w:r>
              <w:rPr>
                <w:rFonts w:hint="default" w:eastAsia="宋体"/>
                <w:lang w:val="en-US" w:eastAsia="zh-CN"/>
              </w:rPr>
              <w:t>新华基金</w:t>
            </w:r>
            <w:r>
              <w:rPr>
                <w:rFonts w:hint="eastAsia"/>
                <w:lang w:val="en-US" w:eastAsia="zh-CN"/>
              </w:rPr>
              <w:t>、</w:t>
            </w:r>
            <w:r>
              <w:rPr>
                <w:rFonts w:hint="default" w:eastAsia="宋体"/>
                <w:lang w:val="en-US" w:eastAsia="zh-CN"/>
              </w:rPr>
              <w:t>宝盈基金</w:t>
            </w:r>
            <w:r>
              <w:rPr>
                <w:rFonts w:hint="eastAsia"/>
                <w:lang w:val="en-US" w:eastAsia="zh-CN"/>
              </w:rPr>
              <w:t>、</w:t>
            </w:r>
            <w:r>
              <w:rPr>
                <w:rFonts w:hint="default" w:eastAsia="宋体"/>
                <w:lang w:val="en-US" w:eastAsia="zh-CN"/>
              </w:rPr>
              <w:t>正圆投资</w:t>
            </w:r>
            <w:r>
              <w:rPr>
                <w:rFonts w:hint="eastAsia"/>
                <w:lang w:val="en-US" w:eastAsia="zh-CN"/>
              </w:rPr>
              <w:t>、</w:t>
            </w:r>
            <w:r>
              <w:rPr>
                <w:rFonts w:hint="default" w:eastAsia="宋体"/>
                <w:lang w:val="en-US" w:eastAsia="zh-CN"/>
              </w:rPr>
              <w:t>信达澳亚基金</w:t>
            </w:r>
            <w:r>
              <w:rPr>
                <w:rFonts w:hint="eastAsia"/>
                <w:lang w:val="en-US" w:eastAsia="zh-CN"/>
              </w:rPr>
              <w:t>、</w:t>
            </w:r>
            <w:r>
              <w:rPr>
                <w:rFonts w:hint="default" w:eastAsia="宋体"/>
                <w:lang w:val="en-US" w:eastAsia="zh-CN"/>
              </w:rPr>
              <w:t>长江资管</w:t>
            </w:r>
            <w:r>
              <w:rPr>
                <w:rFonts w:hint="eastAsia"/>
                <w:lang w:val="en-US" w:eastAsia="zh-CN"/>
              </w:rPr>
              <w:t>、</w:t>
            </w:r>
            <w:r>
              <w:rPr>
                <w:rFonts w:hint="default" w:eastAsia="宋体"/>
                <w:lang w:val="en-US" w:eastAsia="zh-CN"/>
              </w:rPr>
              <w:t>华夏基金</w:t>
            </w:r>
            <w:r>
              <w:rPr>
                <w:rFonts w:hint="eastAsia"/>
                <w:lang w:val="en-US" w:eastAsia="zh-CN"/>
              </w:rPr>
              <w:t>、</w:t>
            </w:r>
            <w:r>
              <w:rPr>
                <w:rFonts w:hint="default" w:eastAsia="宋体"/>
                <w:lang w:val="en-US" w:eastAsia="zh-CN"/>
              </w:rPr>
              <w:t>天风证券</w:t>
            </w:r>
            <w:r>
              <w:rPr>
                <w:rFonts w:hint="eastAsia"/>
                <w:lang w:val="en-US" w:eastAsia="zh-CN"/>
              </w:rPr>
              <w:t>、</w:t>
            </w:r>
            <w:r>
              <w:rPr>
                <w:rFonts w:hint="default" w:eastAsia="宋体"/>
                <w:lang w:val="en-US" w:eastAsia="zh-CN"/>
              </w:rPr>
              <w:t>玄卜投资</w:t>
            </w:r>
            <w:r>
              <w:rPr>
                <w:rFonts w:hint="eastAsia"/>
                <w:lang w:val="en-US" w:eastAsia="zh-CN"/>
              </w:rPr>
              <w:t>、</w:t>
            </w:r>
            <w:r>
              <w:rPr>
                <w:rFonts w:hint="default" w:eastAsia="宋体"/>
                <w:lang w:val="en-US" w:eastAsia="zh-CN"/>
              </w:rPr>
              <w:t>鑫翰资本</w:t>
            </w:r>
            <w:r>
              <w:rPr>
                <w:rFonts w:hint="eastAsia"/>
                <w:lang w:val="en-US" w:eastAsia="zh-CN"/>
              </w:rPr>
              <w:t>、</w:t>
            </w:r>
            <w:r>
              <w:rPr>
                <w:rFonts w:hint="default" w:eastAsia="宋体"/>
                <w:lang w:val="en-US" w:eastAsia="zh-CN"/>
              </w:rPr>
              <w:t>和谐汇一资产</w:t>
            </w:r>
            <w:r>
              <w:rPr>
                <w:rFonts w:hint="eastAsia"/>
                <w:lang w:val="en-US" w:eastAsia="zh-CN"/>
              </w:rPr>
              <w:t>、</w:t>
            </w:r>
            <w:r>
              <w:rPr>
                <w:rFonts w:hint="default" w:eastAsia="宋体"/>
                <w:lang w:val="en-US" w:eastAsia="zh-CN"/>
              </w:rPr>
              <w:t>君和资本</w:t>
            </w:r>
            <w:r>
              <w:rPr>
                <w:rFonts w:hint="eastAsia"/>
                <w:lang w:val="en-US" w:eastAsia="zh-CN"/>
              </w:rPr>
              <w:t>、</w:t>
            </w:r>
            <w:r>
              <w:rPr>
                <w:rFonts w:hint="default" w:eastAsia="宋体"/>
                <w:lang w:val="en-US" w:eastAsia="zh-CN"/>
              </w:rPr>
              <w:t>玖鹏资产</w:t>
            </w:r>
            <w:r>
              <w:rPr>
                <w:rFonts w:hint="eastAsia"/>
                <w:lang w:val="en-US" w:eastAsia="zh-CN"/>
              </w:rPr>
              <w:t>、</w:t>
            </w:r>
            <w:r>
              <w:rPr>
                <w:rFonts w:hint="default" w:eastAsia="宋体"/>
                <w:lang w:val="en-US" w:eastAsia="zh-CN"/>
              </w:rPr>
              <w:t>金百镕投资</w:t>
            </w:r>
            <w:r>
              <w:rPr>
                <w:rFonts w:hint="eastAsia"/>
                <w:lang w:val="en-US" w:eastAsia="zh-CN"/>
              </w:rPr>
              <w:t>、</w:t>
            </w:r>
            <w:r>
              <w:rPr>
                <w:rFonts w:hint="default" w:eastAsia="宋体"/>
                <w:lang w:val="en-US" w:eastAsia="zh-CN"/>
              </w:rPr>
              <w:t>汇丰晋信基金</w:t>
            </w:r>
            <w:r>
              <w:rPr>
                <w:rFonts w:hint="eastAsia"/>
                <w:lang w:val="en-US" w:eastAsia="zh-CN"/>
              </w:rPr>
              <w:t>、</w:t>
            </w:r>
            <w:r>
              <w:rPr>
                <w:rFonts w:hint="default" w:eastAsia="宋体"/>
                <w:lang w:val="en-US" w:eastAsia="zh-CN"/>
              </w:rPr>
              <w:t>恒生前海基金</w:t>
            </w:r>
            <w:r>
              <w:rPr>
                <w:rFonts w:hint="eastAsia"/>
                <w:lang w:val="en-US" w:eastAsia="zh-CN"/>
              </w:rPr>
              <w:t>、</w:t>
            </w:r>
            <w:r>
              <w:rPr>
                <w:rFonts w:hint="default" w:eastAsia="宋体"/>
                <w:lang w:val="en-US" w:eastAsia="zh-CN"/>
              </w:rPr>
              <w:t>兴银基金</w:t>
            </w:r>
            <w:r>
              <w:rPr>
                <w:rFonts w:hint="eastAsia"/>
                <w:lang w:val="en-US" w:eastAsia="zh-CN"/>
              </w:rPr>
              <w:t>、</w:t>
            </w:r>
            <w:r>
              <w:rPr>
                <w:rFonts w:hint="default" w:eastAsia="宋体"/>
                <w:lang w:val="en-US" w:eastAsia="zh-CN"/>
              </w:rPr>
              <w:t>光大证券</w:t>
            </w:r>
            <w:r>
              <w:rPr>
                <w:rFonts w:hint="eastAsia"/>
                <w:lang w:val="en-US" w:eastAsia="zh-CN"/>
              </w:rPr>
              <w:t>、</w:t>
            </w:r>
            <w:r>
              <w:rPr>
                <w:rFonts w:hint="default" w:eastAsia="宋体"/>
                <w:lang w:val="en-US" w:eastAsia="zh-CN"/>
              </w:rPr>
              <w:t>华龙证券</w:t>
            </w:r>
            <w:r>
              <w:rPr>
                <w:rFonts w:hint="eastAsia"/>
                <w:lang w:val="en-US" w:eastAsia="zh-CN"/>
              </w:rPr>
              <w:t>、</w:t>
            </w:r>
            <w:r>
              <w:rPr>
                <w:rFonts w:hint="default" w:eastAsia="宋体"/>
                <w:lang w:val="en-US" w:eastAsia="zh-CN"/>
              </w:rPr>
              <w:t>咸和资产</w:t>
            </w:r>
            <w:r>
              <w:rPr>
                <w:rFonts w:hint="eastAsia"/>
                <w:lang w:val="en-US" w:eastAsia="zh-CN"/>
              </w:rPr>
              <w:t>、</w:t>
            </w:r>
            <w:r>
              <w:rPr>
                <w:rFonts w:hint="default" w:eastAsia="宋体"/>
                <w:lang w:val="en-US" w:eastAsia="zh-CN"/>
              </w:rPr>
              <w:t>中信建投基金</w:t>
            </w:r>
            <w:r>
              <w:rPr>
                <w:rFonts w:hint="eastAsia"/>
                <w:lang w:val="en-US" w:eastAsia="zh-CN"/>
              </w:rPr>
              <w:t>、</w:t>
            </w:r>
            <w:r>
              <w:rPr>
                <w:rFonts w:hint="default" w:eastAsia="宋体"/>
                <w:lang w:val="en-US" w:eastAsia="zh-CN"/>
              </w:rPr>
              <w:t>海通证券</w:t>
            </w:r>
            <w:r>
              <w:rPr>
                <w:rFonts w:hint="eastAsia"/>
                <w:lang w:val="en-US" w:eastAsia="zh-CN"/>
              </w:rPr>
              <w:t>、</w:t>
            </w:r>
            <w:r>
              <w:rPr>
                <w:rFonts w:hint="default" w:eastAsia="宋体"/>
                <w:lang w:val="en-US" w:eastAsia="zh-CN"/>
              </w:rPr>
              <w:t>富国基金</w:t>
            </w:r>
            <w:r>
              <w:rPr>
                <w:rFonts w:hint="eastAsia"/>
                <w:lang w:val="en-US" w:eastAsia="zh-CN"/>
              </w:rPr>
              <w:t>、</w:t>
            </w:r>
            <w:r>
              <w:rPr>
                <w:rFonts w:hint="default" w:eastAsia="宋体"/>
                <w:lang w:val="en-US" w:eastAsia="zh-CN"/>
              </w:rPr>
              <w:t>途灵资产</w:t>
            </w:r>
            <w:r>
              <w:rPr>
                <w:rFonts w:hint="eastAsia"/>
                <w:lang w:val="en-US" w:eastAsia="zh-CN"/>
              </w:rPr>
              <w:t>、</w:t>
            </w:r>
            <w:r>
              <w:rPr>
                <w:rFonts w:hint="default" w:eastAsia="宋体"/>
                <w:lang w:val="en-US" w:eastAsia="zh-CN"/>
              </w:rPr>
              <w:t>合弘景晖投资</w:t>
            </w:r>
            <w:r>
              <w:rPr>
                <w:rFonts w:hint="eastAsia"/>
                <w:lang w:val="en-US" w:eastAsia="zh-CN"/>
              </w:rPr>
              <w:t>、</w:t>
            </w:r>
            <w:r>
              <w:rPr>
                <w:rFonts w:hint="default" w:eastAsia="宋体"/>
                <w:lang w:val="en-US" w:eastAsia="zh-CN"/>
              </w:rPr>
              <w:t>东方证券</w:t>
            </w:r>
            <w:r>
              <w:rPr>
                <w:rFonts w:hint="eastAsia"/>
                <w:lang w:val="en-US" w:eastAsia="zh-CN"/>
              </w:rPr>
              <w:t>、</w:t>
            </w:r>
            <w:r>
              <w:rPr>
                <w:rFonts w:hint="default" w:eastAsia="宋体"/>
                <w:lang w:val="en-US" w:eastAsia="zh-CN"/>
              </w:rPr>
              <w:t>颐和久富投资</w:t>
            </w:r>
            <w:r>
              <w:rPr>
                <w:rFonts w:hint="eastAsia"/>
                <w:lang w:val="en-US" w:eastAsia="zh-CN"/>
              </w:rPr>
              <w:t>、</w:t>
            </w:r>
            <w:r>
              <w:rPr>
                <w:rFonts w:hint="default" w:eastAsia="宋体"/>
                <w:lang w:val="en-US" w:eastAsia="zh-CN"/>
              </w:rPr>
              <w:t>吉渊投资</w:t>
            </w:r>
            <w:r>
              <w:rPr>
                <w:rFonts w:hint="eastAsia"/>
                <w:lang w:val="en-US" w:eastAsia="zh-CN"/>
              </w:rPr>
              <w:t>、</w:t>
            </w:r>
            <w:r>
              <w:rPr>
                <w:rFonts w:hint="default" w:eastAsia="宋体"/>
                <w:lang w:val="en-US" w:eastAsia="zh-CN"/>
              </w:rPr>
              <w:t>BNP Paribas Asset Management</w:t>
            </w:r>
            <w:r>
              <w:rPr>
                <w:rFonts w:hint="eastAsia"/>
                <w:lang w:val="en-US" w:eastAsia="zh-CN"/>
              </w:rPr>
              <w:t>、</w:t>
            </w:r>
            <w:r>
              <w:rPr>
                <w:rFonts w:hint="default" w:eastAsia="宋体"/>
                <w:lang w:val="en-US" w:eastAsia="zh-CN"/>
              </w:rPr>
              <w:t>华泰资产</w:t>
            </w:r>
            <w:r>
              <w:rPr>
                <w:rFonts w:hint="eastAsia"/>
                <w:lang w:val="en-US" w:eastAsia="zh-CN"/>
              </w:rPr>
              <w:t>、</w:t>
            </w:r>
            <w:r>
              <w:rPr>
                <w:rFonts w:hint="default" w:eastAsia="宋体"/>
                <w:lang w:val="en-US" w:eastAsia="zh-CN"/>
              </w:rPr>
              <w:t>朱雀基金</w:t>
            </w:r>
            <w:r>
              <w:rPr>
                <w:rFonts w:hint="eastAsia"/>
                <w:lang w:val="en-US" w:eastAsia="zh-CN"/>
              </w:rPr>
              <w:t>等</w:t>
            </w:r>
          </w:p>
        </w:tc>
      </w:tr>
      <w:tr w14:paraId="68BC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027F270">
            <w:pPr>
              <w:ind w:firstLine="0" w:firstLineChars="0"/>
              <w:rPr>
                <w:bCs/>
                <w:iCs/>
                <w:color w:val="000000"/>
              </w:rPr>
            </w:pPr>
            <w:r>
              <w:rPr>
                <w:bCs/>
                <w:iCs/>
                <w:color w:val="000000"/>
              </w:rPr>
              <w:t>时间</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57AFF18">
            <w:pPr>
              <w:spacing w:line="240" w:lineRule="auto"/>
              <w:ind w:firstLine="0" w:firstLineChars="0"/>
              <w:rPr>
                <w:rFonts w:hint="default" w:eastAsia="宋体"/>
                <w:bCs/>
                <w:iCs/>
                <w:color w:val="000000"/>
                <w:lang w:val="en-US" w:eastAsia="zh-CN"/>
              </w:rPr>
            </w:pPr>
            <w:r>
              <w:rPr>
                <w:bCs/>
                <w:iCs/>
                <w:color w:val="000000"/>
              </w:rPr>
              <w:t>2025年</w:t>
            </w:r>
            <w:r>
              <w:rPr>
                <w:rFonts w:hint="eastAsia"/>
                <w:bCs/>
                <w:iCs/>
                <w:color w:val="000000"/>
                <w:lang w:val="en-US" w:eastAsia="zh-CN"/>
              </w:rPr>
              <w:t>12</w:t>
            </w:r>
            <w:r>
              <w:rPr>
                <w:bCs/>
                <w:iCs/>
                <w:color w:val="000000"/>
              </w:rPr>
              <w:t>月</w:t>
            </w:r>
            <w:r>
              <w:rPr>
                <w:rFonts w:hint="eastAsia"/>
                <w:bCs/>
                <w:iCs/>
                <w:color w:val="000000"/>
                <w:lang w:val="en-US" w:eastAsia="zh-CN"/>
              </w:rPr>
              <w:t>22</w:t>
            </w:r>
            <w:r>
              <w:rPr>
                <w:rFonts w:hint="eastAsia"/>
                <w:bCs/>
                <w:iCs/>
                <w:color w:val="000000"/>
              </w:rPr>
              <w:t>日</w:t>
            </w:r>
            <w:r>
              <w:rPr>
                <w:rFonts w:hint="eastAsia"/>
                <w:bCs/>
                <w:iCs/>
                <w:color w:val="000000"/>
                <w:lang w:val="en-US" w:eastAsia="zh-CN"/>
              </w:rPr>
              <w:t>-23日</w:t>
            </w:r>
          </w:p>
        </w:tc>
      </w:tr>
      <w:tr w14:paraId="6F18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40AF81D7">
            <w:pPr>
              <w:ind w:firstLine="0" w:firstLineChars="0"/>
              <w:rPr>
                <w:bCs/>
                <w:iCs/>
                <w:color w:val="000000"/>
              </w:rPr>
            </w:pPr>
            <w:r>
              <w:rPr>
                <w:bCs/>
                <w:iCs/>
                <w:color w:val="000000"/>
              </w:rPr>
              <w:t>地点（形式）</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21629F8B">
            <w:pPr>
              <w:spacing w:line="240" w:lineRule="auto"/>
              <w:ind w:firstLine="0" w:firstLineChars="0"/>
              <w:rPr>
                <w:rFonts w:hint="default" w:eastAsia="宋体"/>
                <w:bCs/>
                <w:iCs/>
                <w:color w:val="000000"/>
                <w:lang w:val="en-US" w:eastAsia="zh-CN"/>
              </w:rPr>
            </w:pPr>
            <w:r>
              <w:rPr>
                <w:rFonts w:hint="eastAsia"/>
                <w:bCs/>
                <w:iCs/>
                <w:color w:val="000000"/>
                <w:lang w:val="en-US" w:eastAsia="zh-CN"/>
              </w:rPr>
              <w:t>进门财经APP、腾讯会议</w:t>
            </w:r>
          </w:p>
        </w:tc>
      </w:tr>
      <w:tr w14:paraId="458F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52F135B">
            <w:pPr>
              <w:ind w:firstLine="0" w:firstLineChars="0"/>
              <w:rPr>
                <w:bCs/>
                <w:iCs/>
                <w:color w:val="000000"/>
              </w:rPr>
            </w:pPr>
            <w:r>
              <w:rPr>
                <w:bCs/>
                <w:iCs/>
                <w:color w:val="000000"/>
              </w:rPr>
              <w:t>上市公司接待人员姓名</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763BFD73">
            <w:pPr>
              <w:spacing w:line="480" w:lineRule="atLeast"/>
              <w:ind w:firstLine="0" w:firstLineChars="0"/>
              <w:rPr>
                <w:bCs/>
                <w:iCs/>
                <w:color w:val="000000"/>
              </w:rPr>
            </w:pPr>
            <w:r>
              <w:rPr>
                <w:bCs/>
                <w:iCs/>
                <w:color w:val="000000"/>
              </w:rPr>
              <w:t>副总经理、董事会秘书</w:t>
            </w:r>
            <w:r>
              <w:rPr>
                <w:rFonts w:hint="eastAsia"/>
                <w:bCs/>
                <w:iCs/>
                <w:color w:val="000000"/>
                <w:lang w:val="en-US" w:eastAsia="zh-CN"/>
              </w:rPr>
              <w:t xml:space="preserve">  </w:t>
            </w:r>
            <w:r>
              <w:rPr>
                <w:bCs/>
                <w:iCs/>
                <w:color w:val="000000"/>
              </w:rPr>
              <w:t>陈江宁</w:t>
            </w:r>
          </w:p>
          <w:p w14:paraId="01B5AB88">
            <w:pPr>
              <w:spacing w:line="480" w:lineRule="atLeast"/>
              <w:ind w:firstLine="0" w:firstLineChars="0"/>
              <w:rPr>
                <w:bCs/>
                <w:iCs/>
                <w:color w:val="000000"/>
              </w:rPr>
            </w:pPr>
            <w:r>
              <w:rPr>
                <w:rFonts w:hint="eastAsia"/>
                <w:lang w:val="en-US" w:eastAsia="zh-CN"/>
              </w:rPr>
              <w:t xml:space="preserve">锐诗得副总经理  </w:t>
            </w:r>
            <w:r>
              <w:t>苗盛巍</w:t>
            </w:r>
          </w:p>
          <w:p w14:paraId="308A28EA">
            <w:pPr>
              <w:spacing w:line="480" w:lineRule="atLeast"/>
              <w:ind w:firstLine="0" w:firstLineChars="0"/>
              <w:rPr>
                <w:rFonts w:hint="eastAsia" w:eastAsia="宋体"/>
                <w:bCs/>
                <w:iCs/>
                <w:color w:val="000000"/>
                <w:lang w:val="en-US" w:eastAsia="zh-CN"/>
              </w:rPr>
            </w:pPr>
            <w:r>
              <w:rPr>
                <w:bCs/>
                <w:iCs/>
                <w:color w:val="000000"/>
              </w:rPr>
              <w:t xml:space="preserve">证券代表  </w:t>
            </w:r>
            <w:r>
              <w:rPr>
                <w:rFonts w:hint="eastAsia"/>
                <w:bCs/>
                <w:iCs/>
                <w:color w:val="000000"/>
                <w:lang w:val="en-US" w:eastAsia="zh-CN"/>
              </w:rPr>
              <w:t>沈家争</w:t>
            </w:r>
          </w:p>
        </w:tc>
      </w:tr>
      <w:tr w14:paraId="64C5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7A5C5F3">
            <w:pPr>
              <w:ind w:firstLine="0" w:firstLineChars="0"/>
              <w:rPr>
                <w:bCs/>
                <w:iCs/>
                <w:color w:val="000000"/>
              </w:rPr>
            </w:pPr>
            <w:r>
              <w:rPr>
                <w:bCs/>
                <w:iCs/>
                <w:color w:val="000000"/>
              </w:rPr>
              <w:t>投资者关系活动主要内容介绍</w:t>
            </w:r>
          </w:p>
          <w:p w14:paraId="281E916A">
            <w:pPr>
              <w:ind w:firstLine="0" w:firstLineChars="0"/>
              <w:rPr>
                <w:bCs/>
                <w:iCs/>
                <w:color w:val="000000"/>
              </w:rPr>
            </w:pP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06B65676">
            <w:pPr>
              <w:ind w:firstLine="482"/>
              <w:rPr>
                <w:rFonts w:hint="eastAsia" w:cs="Times New Roman"/>
                <w:b/>
                <w:sz w:val="24"/>
                <w:szCs w:val="24"/>
                <w:lang w:val="en-US" w:eastAsia="zh-CN"/>
              </w:rPr>
            </w:pPr>
          </w:p>
          <w:p w14:paraId="1219E769">
            <w:pPr>
              <w:ind w:firstLine="482"/>
              <w:rPr>
                <w:rFonts w:hint="default" w:ascii="Times New Roman" w:hAnsi="Times New Roman" w:eastAsia="宋体" w:cs="Times New Roman"/>
                <w:b/>
                <w:sz w:val="24"/>
                <w:szCs w:val="24"/>
                <w:lang w:val="en-US" w:eastAsia="zh-CN"/>
              </w:rPr>
            </w:pPr>
            <w:r>
              <w:rPr>
                <w:rFonts w:hint="eastAsia" w:cs="Times New Roman"/>
                <w:b/>
                <w:sz w:val="24"/>
                <w:szCs w:val="24"/>
                <w:lang w:val="en-US" w:eastAsia="zh-CN"/>
              </w:rPr>
              <w:t>提问交流</w:t>
            </w:r>
          </w:p>
          <w:p w14:paraId="43B9EDB0">
            <w:pPr>
              <w:rPr>
                <w:rStyle w:val="11"/>
                <w:rFonts w:hint="default" w:ascii="Times New Roman" w:hAnsi="Times New Roman" w:eastAsia="宋体" w:cs="Times New Roman"/>
                <w:b/>
                <w:bCs/>
                <w:i w:val="0"/>
                <w:iCs w:val="0"/>
                <w:caps w:val="0"/>
                <w:color w:val="0F1115"/>
                <w:spacing w:val="0"/>
                <w:sz w:val="24"/>
                <w:szCs w:val="24"/>
                <w:shd w:val="clear" w:fill="FFFFFF"/>
              </w:rPr>
            </w:pPr>
            <w:r>
              <w:rPr>
                <w:rStyle w:val="11"/>
                <w:rFonts w:hint="default" w:ascii="Times New Roman" w:hAnsi="Times New Roman" w:eastAsia="宋体" w:cs="Times New Roman"/>
                <w:b/>
                <w:bCs/>
                <w:i w:val="0"/>
                <w:iCs w:val="0"/>
                <w:caps w:val="0"/>
                <w:color w:val="0F1115"/>
                <w:spacing w:val="0"/>
                <w:sz w:val="24"/>
                <w:szCs w:val="24"/>
                <w:shd w:val="clear" w:fill="FFFFFF"/>
              </w:rPr>
              <w:t>Q1：公司在脑机接口领域与荣脑科技的合作关系是怎样的？这种合作是否具有排他性？</w:t>
            </w:r>
          </w:p>
          <w:p w14:paraId="64B96AE6">
            <w:pPr>
              <w:rPr>
                <w:rStyle w:val="11"/>
                <w:rFonts w:hint="default" w:ascii="Times New Roman" w:hAnsi="Times New Roman" w:eastAsia="宋体" w:cs="Times New Roman"/>
                <w:b w:val="0"/>
                <w:bCs w:val="0"/>
                <w:i w:val="0"/>
                <w:iCs w:val="0"/>
                <w:caps w:val="0"/>
                <w:color w:val="0F1115"/>
                <w:spacing w:val="0"/>
                <w:sz w:val="24"/>
                <w:szCs w:val="24"/>
                <w:shd w:val="clear" w:fill="FFFFFF"/>
                <w:lang w:val="en-US" w:eastAsia="zh-CN"/>
              </w:rPr>
            </w:pPr>
            <w:r>
              <w:rPr>
                <w:rStyle w:val="11"/>
                <w:rFonts w:hint="default" w:ascii="Times New Roman" w:hAnsi="Times New Roman" w:eastAsia="宋体" w:cs="Times New Roman"/>
                <w:b w:val="0"/>
                <w:bCs w:val="0"/>
                <w:i w:val="0"/>
                <w:iCs w:val="0"/>
                <w:caps w:val="0"/>
                <w:color w:val="0F1115"/>
                <w:spacing w:val="0"/>
                <w:sz w:val="24"/>
                <w:szCs w:val="24"/>
                <w:shd w:val="clear" w:fill="FFFFFF"/>
                <w:lang w:val="en-US" w:eastAsia="zh-CN"/>
              </w:rPr>
              <w:t>公司已与荣脑科技建立了紧密的战略合作关系，合作在医疗端具有明确的排他性，荣脑科技主要作为前沿技术提供方，为公司医疗场景下的产品开发提供技术支持。</w:t>
            </w:r>
          </w:p>
          <w:p w14:paraId="70405B7B">
            <w:pPr>
              <w:rPr>
                <w:rStyle w:val="11"/>
                <w:rFonts w:hint="default" w:ascii="Times New Roman" w:hAnsi="Times New Roman" w:eastAsia="宋体" w:cs="Times New Roman"/>
                <w:b w:val="0"/>
                <w:bCs w:val="0"/>
                <w:i w:val="0"/>
                <w:iCs w:val="0"/>
                <w:caps w:val="0"/>
                <w:color w:val="0F1115"/>
                <w:spacing w:val="0"/>
                <w:sz w:val="24"/>
                <w:szCs w:val="24"/>
                <w:shd w:val="clear" w:fill="FFFFFF"/>
                <w:lang w:val="en-US" w:eastAsia="zh-CN"/>
              </w:rPr>
            </w:pPr>
          </w:p>
          <w:p w14:paraId="02DA6140">
            <w:pPr>
              <w:rPr>
                <w:rStyle w:val="11"/>
                <w:rFonts w:hint="default" w:ascii="Times New Roman" w:hAnsi="Times New Roman" w:eastAsia="宋体" w:cs="Times New Roman"/>
                <w:b/>
                <w:bCs/>
                <w:i w:val="0"/>
                <w:iCs w:val="0"/>
                <w:caps w:val="0"/>
                <w:color w:val="0F1115"/>
                <w:spacing w:val="0"/>
                <w:sz w:val="24"/>
                <w:szCs w:val="24"/>
                <w:shd w:val="clear" w:fill="FFFFFF"/>
              </w:rPr>
            </w:pPr>
            <w:r>
              <w:rPr>
                <w:rStyle w:val="11"/>
                <w:rFonts w:hint="default" w:ascii="Times New Roman" w:hAnsi="Times New Roman" w:eastAsia="宋体" w:cs="Times New Roman"/>
                <w:b/>
                <w:bCs/>
                <w:i w:val="0"/>
                <w:iCs w:val="0"/>
                <w:caps w:val="0"/>
                <w:color w:val="0F1115"/>
                <w:spacing w:val="0"/>
                <w:sz w:val="24"/>
                <w:szCs w:val="24"/>
                <w:shd w:val="clear" w:fill="FFFFFF"/>
              </w:rPr>
              <w:t>Q2：公司脑机接口产品的注册取证时间表是怎样的？</w:t>
            </w:r>
          </w:p>
          <w:p w14:paraId="457B6F7C">
            <w:pP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公司预计在2026年一季度获得首张脑机接口医疗器械注册证（</w:t>
            </w:r>
            <w:r>
              <w:rPr>
                <w:rFonts w:hint="eastAsia" w:cs="Times New Roman"/>
                <w:sz w:val="24"/>
                <w:szCs w:val="24"/>
                <w:lang w:val="en-US" w:eastAsia="zh-CN"/>
              </w:rPr>
              <w:t>脑机接口</w:t>
            </w:r>
            <w:r>
              <w:rPr>
                <w:rFonts w:hint="default" w:ascii="Times New Roman" w:hAnsi="Times New Roman" w:eastAsia="宋体" w:cs="Times New Roman"/>
                <w:sz w:val="24"/>
                <w:szCs w:val="24"/>
                <w:lang w:val="en-US" w:eastAsia="zh-CN"/>
              </w:rPr>
              <w:t>经颅磁刺激仪）</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获得首证后，公司会</w:t>
            </w:r>
            <w:r>
              <w:rPr>
                <w:rFonts w:hint="default" w:ascii="Times New Roman" w:hAnsi="Times New Roman" w:eastAsia="宋体" w:cs="Times New Roman"/>
                <w:sz w:val="24"/>
                <w:szCs w:val="24"/>
              </w:rPr>
              <w:t>将这项技术快速应用到现有的产品线中，比如</w:t>
            </w:r>
            <w:r>
              <w:rPr>
                <w:rFonts w:hint="default" w:ascii="Times New Roman" w:hAnsi="Times New Roman" w:eastAsia="宋体" w:cs="Times New Roman"/>
                <w:sz w:val="24"/>
                <w:szCs w:val="24"/>
                <w:lang w:val="en-US" w:eastAsia="zh-CN"/>
              </w:rPr>
              <w:t>软体</w:t>
            </w:r>
            <w:r>
              <w:rPr>
                <w:rFonts w:hint="default" w:ascii="Times New Roman" w:hAnsi="Times New Roman" w:eastAsia="宋体" w:cs="Times New Roman"/>
                <w:sz w:val="24"/>
                <w:szCs w:val="24"/>
              </w:rPr>
              <w:t>手功能训练</w:t>
            </w:r>
            <w:r>
              <w:rPr>
                <w:rFonts w:hint="default" w:ascii="Times New Roman" w:hAnsi="Times New Roman" w:eastAsia="宋体" w:cs="Times New Roman"/>
                <w:sz w:val="24"/>
                <w:szCs w:val="24"/>
                <w:lang w:val="en-US" w:eastAsia="zh-CN"/>
              </w:rPr>
              <w:t>系统</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盆底康复</w:t>
            </w:r>
            <w:r>
              <w:rPr>
                <w:rFonts w:hint="default" w:ascii="Times New Roman" w:hAnsi="Times New Roman" w:eastAsia="宋体" w:cs="Times New Roman"/>
                <w:sz w:val="24"/>
                <w:szCs w:val="24"/>
              </w:rPr>
              <w:t>设备等。</w:t>
            </w:r>
          </w:p>
          <w:p w14:paraId="4F4E602A">
            <w:pPr>
              <w:rPr>
                <w:rFonts w:hint="default" w:ascii="Times New Roman" w:hAnsi="Times New Roman" w:eastAsia="宋体" w:cs="Times New Roman"/>
                <w:sz w:val="24"/>
                <w:szCs w:val="24"/>
              </w:rPr>
            </w:pPr>
          </w:p>
          <w:p w14:paraId="42E88E01">
            <w:pP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Q3：你们的多模态脑机接口技术，具体指什么？它的核心优势和技术壁垒在哪里？</w:t>
            </w:r>
          </w:p>
          <w:p w14:paraId="276D22AA">
            <w:pPr>
              <w:rPr>
                <w:rFonts w:hint="default" w:ascii="Times New Roman" w:hAnsi="Times New Roman" w:eastAsia="宋体" w:cs="Times New Roman"/>
                <w:b/>
                <w:sz w:val="24"/>
                <w:szCs w:val="24"/>
                <w:lang w:val="en-US" w:eastAsia="zh-CN"/>
              </w:rPr>
            </w:pPr>
            <w:r>
              <w:rPr>
                <w:rFonts w:hint="default" w:ascii="Times New Roman" w:hAnsi="Times New Roman" w:eastAsia="宋体" w:cs="Times New Roman"/>
                <w:i w:val="0"/>
                <w:iCs w:val="0"/>
                <w:caps w:val="0"/>
                <w:color w:val="0F1115"/>
                <w:spacing w:val="0"/>
                <w:sz w:val="24"/>
                <w:szCs w:val="24"/>
                <w:shd w:val="clear" w:fill="FFFFFF"/>
              </w:rPr>
              <w:t>我们所说的多模态，主要是指同步采</w:t>
            </w:r>
            <w:r>
              <w:rPr>
                <w:rFonts w:hint="default" w:ascii="Times New Roman" w:hAnsi="Times New Roman" w:eastAsia="宋体" w:cs="Times New Roman"/>
                <w:b w:val="0"/>
                <w:bCs w:val="0"/>
                <w:i w:val="0"/>
                <w:iCs w:val="0"/>
                <w:caps w:val="0"/>
                <w:color w:val="0F1115"/>
                <w:spacing w:val="0"/>
                <w:sz w:val="24"/>
                <w:szCs w:val="24"/>
                <w:shd w:val="clear" w:fill="FFFFFF"/>
              </w:rPr>
              <w:t>集</w:t>
            </w:r>
            <w:r>
              <w:rPr>
                <w:rStyle w:val="11"/>
                <w:rFonts w:hint="default" w:ascii="Times New Roman" w:hAnsi="Times New Roman" w:eastAsia="宋体" w:cs="Times New Roman"/>
                <w:b w:val="0"/>
                <w:bCs w:val="0"/>
                <w:i w:val="0"/>
                <w:iCs w:val="0"/>
                <w:caps w:val="0"/>
                <w:color w:val="0F1115"/>
                <w:spacing w:val="0"/>
                <w:sz w:val="24"/>
                <w:szCs w:val="24"/>
                <w:shd w:val="clear" w:fill="FFFFFF"/>
              </w:rPr>
              <w:t>脑电（EEG）信号</w:t>
            </w:r>
            <w:r>
              <w:rPr>
                <w:rFonts w:hint="default" w:ascii="Times New Roman" w:hAnsi="Times New Roman" w:eastAsia="宋体" w:cs="Times New Roman"/>
                <w:b w:val="0"/>
                <w:bCs w:val="0"/>
                <w:i w:val="0"/>
                <w:iCs w:val="0"/>
                <w:caps w:val="0"/>
                <w:color w:val="0F1115"/>
                <w:spacing w:val="0"/>
                <w:sz w:val="24"/>
                <w:szCs w:val="24"/>
                <w:shd w:val="clear" w:fill="FFFFFF"/>
              </w:rPr>
              <w:t>和</w:t>
            </w:r>
            <w:r>
              <w:rPr>
                <w:rStyle w:val="11"/>
                <w:rFonts w:hint="default" w:ascii="Times New Roman" w:hAnsi="Times New Roman" w:eastAsia="宋体" w:cs="Times New Roman"/>
                <w:b w:val="0"/>
                <w:bCs w:val="0"/>
                <w:i w:val="0"/>
                <w:iCs w:val="0"/>
                <w:caps w:val="0"/>
                <w:color w:val="0F1115"/>
                <w:spacing w:val="0"/>
                <w:sz w:val="24"/>
                <w:szCs w:val="24"/>
                <w:shd w:val="clear" w:fill="FFFFFF"/>
              </w:rPr>
              <w:t>近红外（fNIRS）光信号</w:t>
            </w:r>
            <w:r>
              <w:rPr>
                <w:rFonts w:hint="default" w:ascii="Times New Roman" w:hAnsi="Times New Roman" w:eastAsia="宋体" w:cs="Times New Roman"/>
                <w:b w:val="0"/>
                <w:bCs w:val="0"/>
                <w:i w:val="0"/>
                <w:iCs w:val="0"/>
                <w:caps w:val="0"/>
                <w:color w:val="0F1115"/>
                <w:spacing w:val="0"/>
                <w:sz w:val="24"/>
                <w:szCs w:val="24"/>
                <w:shd w:val="clear" w:fill="FFFFFF"/>
              </w:rPr>
              <w:t>。这</w:t>
            </w:r>
            <w:r>
              <w:rPr>
                <w:rFonts w:hint="default" w:ascii="Times New Roman" w:hAnsi="Times New Roman" w:eastAsia="宋体" w:cs="Times New Roman"/>
                <w:i w:val="0"/>
                <w:iCs w:val="0"/>
                <w:caps w:val="0"/>
                <w:color w:val="0F1115"/>
                <w:spacing w:val="0"/>
                <w:sz w:val="24"/>
                <w:szCs w:val="24"/>
                <w:shd w:val="clear" w:fill="FFFFFF"/>
              </w:rPr>
              <w:t>两种信号本身并不相互干扰，但融合它们却能带来质的变化。</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宋体" w:cs="Times New Roman"/>
                <w:i w:val="0"/>
                <w:iCs w:val="0"/>
                <w:caps w:val="0"/>
                <w:color w:val="0F1115"/>
                <w:spacing w:val="0"/>
                <w:sz w:val="24"/>
                <w:szCs w:val="24"/>
                <w:shd w:val="clear" w:fill="FFFFFF"/>
              </w:rPr>
              <w:t>它的优势首先体现在临床的可用性上。传统的脑电检测为了信号质量，准备过程繁琐，患者体验不佳，且信号容易因头发、出汗等因素受影响。而近红外光对前额叶进行检测时，不受头发干扰，大大简化了操作流程，让这项技术真正能在临床日常工作中用起来。</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宋体" w:cs="Times New Roman"/>
                <w:i w:val="0"/>
                <w:iCs w:val="0"/>
                <w:caps w:val="0"/>
                <w:color w:val="0F1115"/>
                <w:spacing w:val="0"/>
                <w:sz w:val="24"/>
                <w:szCs w:val="24"/>
                <w:shd w:val="clear" w:fill="FFFFFF"/>
              </w:rPr>
              <w:t>更重要的是技术层面，单一的脑电信号时间分辨率高，但空间定位模糊；近红外信号则能提供更好的空间信息。将两者融合能更立体、更精准地解析大脑的实时状态，比如患者的专注度、情绪紧张程度或特定脑区的激活水平。</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宋体" w:cs="Times New Roman"/>
                <w:i w:val="0"/>
                <w:iCs w:val="0"/>
                <w:caps w:val="0"/>
                <w:color w:val="0F1115"/>
                <w:spacing w:val="0"/>
                <w:sz w:val="24"/>
                <w:szCs w:val="24"/>
                <w:shd w:val="clear" w:fill="FFFFFF"/>
              </w:rPr>
              <w:t>目前的壁垒在于</w:t>
            </w:r>
            <w:r>
              <w:rPr>
                <w:rFonts w:hint="eastAsia" w:cs="Times New Roman"/>
                <w:i w:val="0"/>
                <w:iCs w:val="0"/>
                <w:caps w:val="0"/>
                <w:color w:val="0F1115"/>
                <w:spacing w:val="0"/>
                <w:sz w:val="24"/>
                <w:szCs w:val="24"/>
                <w:shd w:val="clear" w:fill="FFFFFF"/>
                <w:lang w:eastAsia="zh-CN"/>
              </w:rPr>
              <w:t>，</w:t>
            </w:r>
            <w:r>
              <w:rPr>
                <w:rFonts w:hint="default" w:ascii="Times New Roman" w:hAnsi="Times New Roman" w:eastAsia="宋体" w:cs="Times New Roman"/>
                <w:i w:val="0"/>
                <w:iCs w:val="0"/>
                <w:caps w:val="0"/>
                <w:color w:val="0F1115"/>
                <w:spacing w:val="0"/>
                <w:sz w:val="24"/>
                <w:szCs w:val="24"/>
                <w:shd w:val="clear" w:fill="FFFFFF"/>
              </w:rPr>
              <w:t>能够将这两套系统稳定、可靠地集成到可穿戴医疗设备中，并完成严格注册验证的企业很少。未来的壁垒则会转向临床数据的积累和算法模型的迭代，谁拥有更多高质量的数据并能训练出更智能的解析模型，谁就能建立更深的护城河。</w:t>
            </w:r>
          </w:p>
          <w:p w14:paraId="537DDA01">
            <w:pPr>
              <w:ind w:left="0" w:leftChars="0" w:firstLine="480" w:firstLineChars="200"/>
              <w:rPr>
                <w:rFonts w:hint="default" w:ascii="Times New Roman" w:hAnsi="Times New Roman" w:eastAsia="宋体" w:cs="Times New Roman"/>
                <w:i w:val="0"/>
                <w:iCs w:val="0"/>
                <w:caps w:val="0"/>
                <w:color w:val="0F1115"/>
                <w:spacing w:val="0"/>
                <w:sz w:val="24"/>
                <w:szCs w:val="24"/>
                <w:shd w:val="clear" w:fill="FFFFFF"/>
                <w:lang w:eastAsia="zh-CN"/>
              </w:rPr>
            </w:pPr>
          </w:p>
          <w:p w14:paraId="0C97E97E">
            <w:pPr>
              <w:ind w:left="0" w:leftChars="0" w:firstLine="482" w:firstLineChars="200"/>
              <w:rPr>
                <w:rStyle w:val="11"/>
                <w:rFonts w:hint="default" w:ascii="Times New Roman" w:hAnsi="Times New Roman" w:eastAsia="宋体" w:cs="Times New Roman"/>
                <w:b/>
                <w:bCs/>
                <w:i w:val="0"/>
                <w:iCs w:val="0"/>
                <w:caps w:val="0"/>
                <w:color w:val="0F1115"/>
                <w:spacing w:val="0"/>
                <w:sz w:val="24"/>
                <w:szCs w:val="24"/>
                <w:shd w:val="clear" w:fill="FFFFFF"/>
              </w:rPr>
            </w:pPr>
            <w:r>
              <w:rPr>
                <w:rStyle w:val="11"/>
                <w:rFonts w:hint="default" w:ascii="Times New Roman" w:hAnsi="Times New Roman" w:eastAsia="宋体" w:cs="Times New Roman"/>
                <w:b/>
                <w:bCs/>
                <w:i w:val="0"/>
                <w:iCs w:val="0"/>
                <w:caps w:val="0"/>
                <w:color w:val="0F1115"/>
                <w:spacing w:val="0"/>
                <w:sz w:val="24"/>
                <w:szCs w:val="24"/>
                <w:shd w:val="clear" w:fill="FFFFFF"/>
              </w:rPr>
              <w:t>Q4：脑机接口技术在公司内部主要瞄准哪几个应用方向？各自的推进策略是什么？</w:t>
            </w:r>
          </w:p>
          <w:p w14:paraId="69920650">
            <w:pPr>
              <w:ind w:left="0" w:leftChars="0" w:firstLine="480" w:firstLineChars="200"/>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pP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我们主要沿着三个方向推进，并根据临床落地难易程度和市场成熟度来安排节奏。</w:t>
            </w:r>
          </w:p>
          <w:p w14:paraId="498105D9">
            <w:pPr>
              <w:ind w:left="0" w:leftChars="0" w:firstLine="480" w:firstLineChars="200"/>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pP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最先落地的是</w:t>
            </w:r>
            <w:r>
              <w:rPr>
                <w:rFonts w:hint="eastAsia" w:cs="Times New Roman"/>
                <w:b w:val="0"/>
                <w:bCs/>
                <w:sz w:val="24"/>
                <w:szCs w:val="24"/>
                <w:lang w:val="en-US" w:eastAsia="zh-CN"/>
              </w:rPr>
              <w:t>精神与心身疾病调控</w:t>
            </w: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，比如抑郁症、焦虑症、失眠的干预。这个市场需求明确且迫切，我们的闭环神经调控系统能直接提升现有物理治疗手段的精准性和疗效。产品拿证后，我们会依托已有的精神科、神经科渠道快速推进。</w:t>
            </w:r>
          </w:p>
          <w:p w14:paraId="4DCBDBD9">
            <w:pPr>
              <w:ind w:left="0" w:leftChars="0" w:firstLine="480" w:firstLineChars="200"/>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pP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其次是运动功能障碍康复，比如卒中后的手功能训练。这方面我们已有产品基础和市场网络，脑机接口的加入主要是为了增强产品的主动康复效果和竞争力。不过，目前非侵入式技术对精细运动意图的识别还有局限，所以我们现阶段的目标是巩固在粗大动作康复领域的应用。</w:t>
            </w:r>
          </w:p>
          <w:p w14:paraId="0E085A7A">
            <w:pPr>
              <w:ind w:left="0" w:leftChars="0" w:firstLine="480" w:firstLineChars="200"/>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pP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第三个是</w:t>
            </w:r>
            <w:r>
              <w:rPr>
                <w:rFonts w:hint="eastAsia" w:cs="Times New Roman"/>
                <w:b w:val="0"/>
                <w:bCs/>
                <w:sz w:val="24"/>
                <w:szCs w:val="24"/>
                <w:lang w:val="en-US" w:eastAsia="zh-CN"/>
              </w:rPr>
              <w:t>认知功能障碍干预</w:t>
            </w: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，如阿尔茨海默病、帕金森病的认知干预。这是一个面向老龄化社会的巨大潜在市场，但产品开发周期更长。</w:t>
            </w:r>
            <w:r>
              <w:rPr>
                <w:rStyle w:val="11"/>
                <w:rFonts w:hint="default" w:ascii="Times New Roman" w:hAnsi="Times New Roman" w:eastAsia="宋体" w:cs="Times New Roman"/>
                <w:b w:val="0"/>
                <w:bCs w:val="0"/>
                <w:i w:val="0"/>
                <w:iCs w:val="0"/>
                <w:caps w:val="0"/>
                <w:color w:val="0F1115"/>
                <w:spacing w:val="0"/>
                <w:sz w:val="24"/>
                <w:szCs w:val="24"/>
                <w:shd w:val="clear" w:fill="FFFFFF"/>
                <w:lang w:val="en-US" w:eastAsia="zh-CN"/>
              </w:rPr>
              <w:t>公司承担的</w:t>
            </w:r>
            <w:r>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t>国家重点研发计划主要围绕这个方向，预计2027年完成，之后会推动相关产品的商业化。</w:t>
            </w:r>
          </w:p>
          <w:p w14:paraId="673E3FB2">
            <w:pPr>
              <w:ind w:left="0" w:leftChars="0" w:firstLine="480" w:firstLineChars="200"/>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pPr>
          </w:p>
          <w:p w14:paraId="6B34C1AE">
            <w:pPr>
              <w:ind w:left="0" w:leftChars="0" w:firstLine="482" w:firstLineChars="200"/>
              <w:rPr>
                <w:rStyle w:val="11"/>
                <w:rFonts w:hint="default" w:ascii="Times New Roman" w:hAnsi="Times New Roman" w:eastAsia="宋体" w:cs="Times New Roman"/>
                <w:b w:val="0"/>
                <w:bCs w:val="0"/>
                <w:i w:val="0"/>
                <w:iCs w:val="0"/>
                <w:caps w:val="0"/>
                <w:color w:val="0F1115"/>
                <w:spacing w:val="0"/>
                <w:sz w:val="24"/>
                <w:szCs w:val="24"/>
                <w:shd w:val="clear" w:fill="FFFFFF"/>
                <w:lang w:eastAsia="zh-CN"/>
              </w:rPr>
            </w:pPr>
            <w:r>
              <w:rPr>
                <w:rStyle w:val="11"/>
                <w:rFonts w:hint="default" w:ascii="Times New Roman" w:hAnsi="Times New Roman" w:eastAsia="宋体" w:cs="Times New Roman"/>
                <w:b/>
                <w:bCs/>
                <w:i w:val="0"/>
                <w:iCs w:val="0"/>
                <w:caps w:val="0"/>
                <w:color w:val="0F1115"/>
                <w:spacing w:val="0"/>
                <w:sz w:val="24"/>
                <w:szCs w:val="24"/>
                <w:shd w:val="clear" w:fill="FFFFFF"/>
              </w:rPr>
              <w:t>Q5：行业内的数据合规要求越来越严，公司如何保障脑电数据的合规使用？国家对这类技术的政策支持力度如何？</w:t>
            </w:r>
          </w:p>
          <w:p w14:paraId="703033AA">
            <w:pPr>
              <w:ind w:left="0" w:leftChars="0" w:firstLine="480" w:firstLineChars="200"/>
              <w:rPr>
                <w:rFonts w:hint="default" w:ascii="Times New Roman" w:hAnsi="Times New Roman" w:eastAsia="宋体" w:cs="Times New Roman"/>
                <w:i w:val="0"/>
                <w:iCs w:val="0"/>
                <w:caps w:val="0"/>
                <w:color w:val="0F1115"/>
                <w:spacing w:val="0"/>
                <w:sz w:val="24"/>
                <w:szCs w:val="24"/>
                <w:shd w:val="clear" w:fill="FFFFFF"/>
              </w:rPr>
            </w:pPr>
            <w:r>
              <w:rPr>
                <w:rFonts w:hint="default" w:ascii="Times New Roman" w:hAnsi="Times New Roman" w:eastAsia="宋体" w:cs="Times New Roman"/>
                <w:i w:val="0"/>
                <w:iCs w:val="0"/>
                <w:caps w:val="0"/>
                <w:color w:val="0F1115"/>
                <w:spacing w:val="0"/>
                <w:sz w:val="24"/>
                <w:szCs w:val="24"/>
                <w:shd w:val="clear" w:fill="FFFFFF"/>
              </w:rPr>
              <w:t>患者的脑电数据，属于高度敏感的医疗健康信息，合规是生命线。我们的基本原则是“数据不出院”。在实际操作中，</w:t>
            </w:r>
            <w:r>
              <w:rPr>
                <w:rFonts w:hint="default" w:ascii="Times New Roman" w:hAnsi="Times New Roman" w:eastAsia="宋体" w:cs="Times New Roman"/>
                <w:i w:val="0"/>
                <w:iCs w:val="0"/>
                <w:caps w:val="0"/>
                <w:color w:val="0F1115"/>
                <w:spacing w:val="0"/>
                <w:sz w:val="24"/>
                <w:szCs w:val="24"/>
                <w:shd w:val="clear" w:fill="FFFFFF"/>
                <w:lang w:val="en-US" w:eastAsia="zh-CN"/>
              </w:rPr>
              <w:t>我们</w:t>
            </w:r>
            <w:r>
              <w:rPr>
                <w:rFonts w:hint="default" w:ascii="Times New Roman" w:hAnsi="Times New Roman" w:eastAsia="宋体" w:cs="Times New Roman"/>
                <w:i w:val="0"/>
                <w:iCs w:val="0"/>
                <w:caps w:val="0"/>
                <w:color w:val="0F1115"/>
                <w:spacing w:val="0"/>
                <w:sz w:val="24"/>
                <w:szCs w:val="24"/>
                <w:shd w:val="clear" w:fill="FFFFFF"/>
              </w:rPr>
              <w:t>通过与医院进行联合科研、共同开发临床解决方案的模式来开展工作。在这种合作框架下，数据在医院的防火墙内被安全地用于分析和模型优化，产生的知识产权由双方共享。我们也在积极参与行业数据标准的制定，推动建立更规范的数据管理和保护体系。</w:t>
            </w:r>
            <w:r>
              <w:rPr>
                <w:rFonts w:hint="default" w:ascii="Times New Roman" w:hAnsi="Times New Roman" w:eastAsia="宋体" w:cs="Times New Roman"/>
                <w:i w:val="0"/>
                <w:iCs w:val="0"/>
                <w:caps w:val="0"/>
                <w:color w:val="0F1115"/>
                <w:spacing w:val="0"/>
                <w:sz w:val="24"/>
                <w:szCs w:val="24"/>
                <w:shd w:val="clear" w:fill="FFFFFF"/>
              </w:rPr>
              <w:br w:type="textWrapping"/>
            </w:r>
            <w:r>
              <w:rPr>
                <w:rFonts w:hint="default" w:ascii="Times New Roman" w:hAnsi="Times New Roman" w:eastAsia="宋体" w:cs="Times New Roman"/>
                <w:i w:val="0"/>
                <w:iCs w:val="0"/>
                <w:caps w:val="0"/>
                <w:color w:val="0F1115"/>
                <w:spacing w:val="0"/>
                <w:sz w:val="24"/>
                <w:szCs w:val="24"/>
                <w:shd w:val="clear" w:fill="FFFFFF"/>
                <w:lang w:val="en-US" w:eastAsia="zh-CN"/>
              </w:rPr>
              <w:t xml:space="preserve">    </w:t>
            </w:r>
            <w:r>
              <w:rPr>
                <w:rFonts w:hint="default" w:ascii="Times New Roman" w:hAnsi="Times New Roman" w:eastAsia="宋体" w:cs="Times New Roman"/>
                <w:i w:val="0"/>
                <w:iCs w:val="0"/>
                <w:caps w:val="0"/>
                <w:color w:val="0F1115"/>
                <w:spacing w:val="0"/>
                <w:sz w:val="24"/>
                <w:szCs w:val="24"/>
                <w:shd w:val="clear" w:fill="FFFFFF"/>
              </w:rPr>
              <w:t>从政策风向来看，国家对脑机接口这类前沿技术是鼓励和支持的。多个省份的医保部门已经出台</w:t>
            </w:r>
            <w:r>
              <w:rPr>
                <w:rFonts w:hint="default" w:ascii="Times New Roman" w:hAnsi="Times New Roman" w:eastAsia="宋体" w:cs="Times New Roman"/>
                <w:i w:val="0"/>
                <w:iCs w:val="0"/>
                <w:caps w:val="0"/>
                <w:color w:val="0F1115"/>
                <w:spacing w:val="0"/>
                <w:sz w:val="24"/>
                <w:szCs w:val="24"/>
                <w:shd w:val="clear" w:fill="FFFFFF"/>
                <w:lang w:eastAsia="zh-CN"/>
              </w:rPr>
              <w:t>了“</w:t>
            </w:r>
            <w:r>
              <w:rPr>
                <w:rFonts w:hint="default" w:ascii="Times New Roman" w:hAnsi="Times New Roman" w:eastAsia="宋体" w:cs="Times New Roman"/>
                <w:i w:val="0"/>
                <w:iCs w:val="0"/>
                <w:caps w:val="0"/>
                <w:color w:val="0F1115"/>
                <w:spacing w:val="0"/>
                <w:sz w:val="24"/>
                <w:szCs w:val="24"/>
                <w:shd w:val="clear" w:fill="FFFFFF"/>
                <w:lang w:val="en-US" w:eastAsia="zh-CN"/>
              </w:rPr>
              <w:t>非侵入式脑机接口适配费</w:t>
            </w:r>
            <w:r>
              <w:rPr>
                <w:rFonts w:hint="default" w:ascii="Times New Roman" w:hAnsi="Times New Roman" w:eastAsia="宋体" w:cs="Times New Roman"/>
                <w:i w:val="0"/>
                <w:iCs w:val="0"/>
                <w:caps w:val="0"/>
                <w:color w:val="0F1115"/>
                <w:spacing w:val="0"/>
                <w:sz w:val="24"/>
                <w:szCs w:val="24"/>
                <w:shd w:val="clear" w:fill="FFFFFF"/>
                <w:lang w:eastAsia="zh-CN"/>
              </w:rPr>
              <w:t>”</w:t>
            </w:r>
            <w:r>
              <w:rPr>
                <w:rFonts w:hint="eastAsia" w:cs="Times New Roman"/>
                <w:i w:val="0"/>
                <w:iCs w:val="0"/>
                <w:caps w:val="0"/>
                <w:color w:val="0F1115"/>
                <w:spacing w:val="0"/>
                <w:sz w:val="24"/>
                <w:szCs w:val="24"/>
                <w:shd w:val="clear" w:fill="FFFFFF"/>
                <w:lang w:val="en-US" w:eastAsia="zh-CN"/>
              </w:rPr>
              <w:t>的收费项目</w:t>
            </w:r>
            <w:r>
              <w:rPr>
                <w:rFonts w:hint="default" w:ascii="Times New Roman" w:hAnsi="Times New Roman" w:eastAsia="宋体" w:cs="Times New Roman"/>
                <w:i w:val="0"/>
                <w:iCs w:val="0"/>
                <w:caps w:val="0"/>
                <w:color w:val="0F1115"/>
                <w:spacing w:val="0"/>
                <w:sz w:val="24"/>
                <w:szCs w:val="24"/>
                <w:shd w:val="clear" w:fill="FFFFFF"/>
                <w:lang w:eastAsia="zh-CN"/>
              </w:rPr>
              <w:t>，</w:t>
            </w:r>
            <w:r>
              <w:rPr>
                <w:rFonts w:hint="default" w:ascii="Times New Roman" w:hAnsi="Times New Roman" w:eastAsia="宋体" w:cs="Times New Roman"/>
                <w:i w:val="0"/>
                <w:iCs w:val="0"/>
                <w:caps w:val="0"/>
                <w:color w:val="0F1115"/>
                <w:spacing w:val="0"/>
                <w:sz w:val="24"/>
                <w:szCs w:val="24"/>
                <w:shd w:val="clear" w:fill="FFFFFF"/>
              </w:rPr>
              <w:t>这表明医保体系正在为新技术打开一扇窗。虽然具体的报销细则还在摸索中，但国家显然希望通过调整收费结构，引导临床资源向创新技术倾斜。这为</w:t>
            </w:r>
            <w:r>
              <w:rPr>
                <w:rFonts w:hint="eastAsia" w:cs="Times New Roman"/>
                <w:i w:val="0"/>
                <w:iCs w:val="0"/>
                <w:caps w:val="0"/>
                <w:color w:val="0F1115"/>
                <w:spacing w:val="0"/>
                <w:sz w:val="24"/>
                <w:szCs w:val="24"/>
                <w:shd w:val="clear" w:fill="FFFFFF"/>
                <w:lang w:val="en-US" w:eastAsia="zh-CN"/>
              </w:rPr>
              <w:t>脑机接口</w:t>
            </w:r>
            <w:r>
              <w:rPr>
                <w:rFonts w:hint="default" w:ascii="Times New Roman" w:hAnsi="Times New Roman" w:eastAsia="宋体" w:cs="Times New Roman"/>
                <w:i w:val="0"/>
                <w:iCs w:val="0"/>
                <w:caps w:val="0"/>
                <w:color w:val="0F1115"/>
                <w:spacing w:val="0"/>
                <w:sz w:val="24"/>
                <w:szCs w:val="24"/>
                <w:shd w:val="clear" w:fill="FFFFFF"/>
              </w:rPr>
              <w:t>产品的市场准入和商业化提供了非常有利的政策环境。</w:t>
            </w:r>
          </w:p>
          <w:p w14:paraId="57E10D19">
            <w:pPr>
              <w:ind w:left="0" w:leftChars="0" w:firstLine="480" w:firstLineChars="200"/>
              <w:rPr>
                <w:rFonts w:hint="default" w:ascii="Times New Roman" w:hAnsi="Times New Roman" w:eastAsia="宋体" w:cs="Times New Roman"/>
                <w:i w:val="0"/>
                <w:iCs w:val="0"/>
                <w:caps w:val="0"/>
                <w:color w:val="0F1115"/>
                <w:spacing w:val="0"/>
                <w:sz w:val="24"/>
                <w:szCs w:val="24"/>
                <w:shd w:val="clear" w:fill="FFFFFF"/>
              </w:rPr>
            </w:pPr>
          </w:p>
          <w:p w14:paraId="4BCAFF6E">
            <w:pPr>
              <w:ind w:left="0" w:leftChars="0" w:firstLine="482" w:firstLineChars="200"/>
              <w:rPr>
                <w:rFonts w:hint="default" w:ascii="Times New Roman" w:hAnsi="Times New Roman" w:eastAsia="宋体" w:cs="Times New Roman"/>
                <w:b/>
                <w:bCs/>
                <w:i w:val="0"/>
                <w:iCs w:val="0"/>
                <w:caps w:val="0"/>
                <w:color w:val="0F1115"/>
                <w:spacing w:val="0"/>
                <w:sz w:val="24"/>
                <w:szCs w:val="24"/>
                <w:shd w:val="clear" w:fill="FFFFFF"/>
                <w:lang w:eastAsia="zh-CN"/>
              </w:rPr>
            </w:pPr>
            <w:r>
              <w:rPr>
                <w:rFonts w:hint="default" w:ascii="Times New Roman" w:hAnsi="Times New Roman" w:eastAsia="宋体" w:cs="Times New Roman"/>
                <w:b/>
                <w:bCs/>
                <w:i w:val="0"/>
                <w:iCs w:val="0"/>
                <w:caps w:val="0"/>
                <w:color w:val="0F1115"/>
                <w:spacing w:val="0"/>
                <w:sz w:val="24"/>
                <w:szCs w:val="24"/>
                <w:shd w:val="clear" w:fill="FFFFFF"/>
                <w:lang w:eastAsia="zh-CN"/>
              </w:rPr>
              <w:t>Q</w:t>
            </w:r>
            <w:r>
              <w:rPr>
                <w:rFonts w:hint="default" w:ascii="Times New Roman" w:hAnsi="Times New Roman" w:eastAsia="宋体" w:cs="Times New Roman"/>
                <w:b/>
                <w:bCs/>
                <w:i w:val="0"/>
                <w:iCs w:val="0"/>
                <w:caps w:val="0"/>
                <w:color w:val="0F1115"/>
                <w:spacing w:val="0"/>
                <w:sz w:val="24"/>
                <w:szCs w:val="24"/>
                <w:shd w:val="clear" w:fill="FFFFFF"/>
                <w:lang w:val="en-US" w:eastAsia="zh-CN"/>
              </w:rPr>
              <w:t>6</w:t>
            </w:r>
            <w:r>
              <w:rPr>
                <w:rFonts w:hint="default" w:ascii="Times New Roman" w:hAnsi="Times New Roman" w:eastAsia="宋体" w:cs="Times New Roman"/>
                <w:b/>
                <w:bCs/>
                <w:i w:val="0"/>
                <w:iCs w:val="0"/>
                <w:caps w:val="0"/>
                <w:color w:val="0F1115"/>
                <w:spacing w:val="0"/>
                <w:sz w:val="24"/>
                <w:szCs w:val="24"/>
                <w:shd w:val="clear" w:fill="FFFFFF"/>
                <w:lang w:eastAsia="zh-CN"/>
              </w:rPr>
              <w:t>：</w:t>
            </w:r>
            <w:r>
              <w:rPr>
                <w:rStyle w:val="11"/>
                <w:rFonts w:ascii="Segoe UI" w:hAnsi="Segoe UI" w:eastAsia="Segoe UI" w:cs="Segoe UI"/>
                <w:b/>
                <w:bCs/>
                <w:i w:val="0"/>
                <w:iCs w:val="0"/>
                <w:caps w:val="0"/>
                <w:color w:val="0F1115"/>
                <w:spacing w:val="0"/>
                <w:sz w:val="24"/>
                <w:szCs w:val="24"/>
                <w:shd w:val="clear" w:fill="FFFFFF"/>
              </w:rPr>
              <w:t>公司对未来主营业务的发展</w:t>
            </w:r>
            <w:bookmarkStart w:id="2" w:name="_GoBack"/>
            <w:bookmarkEnd w:id="2"/>
            <w:r>
              <w:rPr>
                <w:rStyle w:val="11"/>
                <w:rFonts w:ascii="Segoe UI" w:hAnsi="Segoe UI" w:eastAsia="Segoe UI" w:cs="Segoe UI"/>
                <w:b/>
                <w:bCs/>
                <w:i w:val="0"/>
                <w:iCs w:val="0"/>
                <w:caps w:val="0"/>
                <w:color w:val="0F1115"/>
                <w:spacing w:val="0"/>
                <w:sz w:val="24"/>
                <w:szCs w:val="24"/>
                <w:shd w:val="clear" w:fill="FFFFFF"/>
              </w:rPr>
              <w:t>有何规划？</w:t>
            </w:r>
            <w:r>
              <w:rPr>
                <w:rStyle w:val="11"/>
                <w:rFonts w:hint="eastAsia" w:ascii="Segoe UI" w:hAnsi="Segoe UI" w:cs="Segoe UI"/>
                <w:b/>
                <w:bCs/>
                <w:i w:val="0"/>
                <w:iCs w:val="0"/>
                <w:caps w:val="0"/>
                <w:color w:val="0F1115"/>
                <w:spacing w:val="0"/>
                <w:sz w:val="24"/>
                <w:szCs w:val="24"/>
                <w:shd w:val="clear" w:fill="FFFFFF"/>
                <w:lang w:val="en-US" w:eastAsia="zh-CN"/>
              </w:rPr>
              <w:t>传统业务</w:t>
            </w:r>
            <w:r>
              <w:rPr>
                <w:rFonts w:hint="default" w:ascii="Times New Roman" w:hAnsi="Times New Roman" w:eastAsia="宋体" w:cs="Times New Roman"/>
                <w:b/>
                <w:bCs/>
                <w:i w:val="0"/>
                <w:iCs w:val="0"/>
                <w:caps w:val="0"/>
                <w:color w:val="0F1115"/>
                <w:spacing w:val="0"/>
                <w:sz w:val="24"/>
                <w:szCs w:val="24"/>
                <w:shd w:val="clear" w:fill="FFFFFF"/>
                <w:lang w:eastAsia="zh-CN"/>
              </w:rPr>
              <w:t>如何与新兴的脑机接口业务协同？</w:t>
            </w:r>
          </w:p>
          <w:p w14:paraId="3817B84F">
            <w:pPr>
              <w:rPr>
                <w:rFonts w:ascii="Segoe UI" w:hAnsi="Segoe UI" w:eastAsia="Segoe UI" w:cs="Segoe UI"/>
                <w:i w:val="0"/>
                <w:iCs w:val="0"/>
                <w:caps w:val="0"/>
                <w:color w:val="0F1115"/>
                <w:spacing w:val="0"/>
                <w:sz w:val="24"/>
                <w:szCs w:val="24"/>
                <w:shd w:val="clear" w:fill="FFFFFF"/>
              </w:rPr>
            </w:pPr>
            <w:r>
              <w:rPr>
                <w:rFonts w:ascii="Segoe UI" w:hAnsi="Segoe UI" w:eastAsia="Segoe UI" w:cs="Segoe UI"/>
                <w:i w:val="0"/>
                <w:iCs w:val="0"/>
                <w:caps w:val="0"/>
                <w:color w:val="0F1115"/>
                <w:spacing w:val="0"/>
                <w:sz w:val="24"/>
                <w:szCs w:val="24"/>
                <w:shd w:val="clear" w:fill="FFFFFF"/>
              </w:rPr>
              <w:t>公司的发展路径清晰，旨在巩固基本盘的同时，积极开拓具备长期潜力的新赛道</w:t>
            </w:r>
            <w:r>
              <w:rPr>
                <w:rFonts w:hint="default" w:ascii="Times New Roman" w:hAnsi="Times New Roman" w:eastAsia="宋体" w:cs="Times New Roman"/>
                <w:i w:val="0"/>
                <w:iCs w:val="0"/>
                <w:caps w:val="0"/>
                <w:color w:val="0F1115"/>
                <w:spacing w:val="0"/>
                <w:sz w:val="24"/>
                <w:szCs w:val="24"/>
                <w:shd w:val="clear" w:fill="FFFFFF"/>
              </w:rPr>
              <w:t>。</w:t>
            </w:r>
            <w:r>
              <w:rPr>
                <w:rFonts w:hint="eastAsia" w:cs="Times New Roman"/>
                <w:i w:val="0"/>
                <w:iCs w:val="0"/>
                <w:caps w:val="0"/>
                <w:color w:val="0F1115"/>
                <w:spacing w:val="0"/>
                <w:sz w:val="24"/>
                <w:szCs w:val="24"/>
                <w:shd w:val="clear" w:fill="FFFFFF"/>
                <w:lang w:val="en-US" w:eastAsia="zh-CN"/>
              </w:rPr>
              <w:t>在脑机接口方向，</w:t>
            </w:r>
            <w:r>
              <w:rPr>
                <w:rFonts w:ascii="Segoe UI" w:hAnsi="Segoe UI" w:eastAsia="Segoe UI" w:cs="Segoe UI"/>
                <w:i w:val="0"/>
                <w:iCs w:val="0"/>
                <w:caps w:val="0"/>
                <w:color w:val="0F1115"/>
                <w:spacing w:val="0"/>
                <w:sz w:val="24"/>
                <w:szCs w:val="24"/>
                <w:shd w:val="clear" w:fill="FFFFFF"/>
              </w:rPr>
              <w:t>公司已规划系统的产品注册与上市路径，近期以取得首张核心产品注册证为关键节点，后续将逐步拓展至多产品线、多适应症布局，推动该业务从市场导入期迈向快速增长阶段。</w:t>
            </w:r>
          </w:p>
          <w:p w14:paraId="6D579306">
            <w:pPr>
              <w:rPr>
                <w:rFonts w:hint="eastAsia" w:ascii="Segoe UI" w:hAnsi="Segoe UI" w:eastAsia="Segoe UI" w:cs="Segoe UI"/>
                <w:i w:val="0"/>
                <w:iCs w:val="0"/>
                <w:caps w:val="0"/>
                <w:color w:val="0F1115"/>
                <w:spacing w:val="0"/>
                <w:sz w:val="24"/>
                <w:szCs w:val="24"/>
                <w:shd w:val="clear" w:fill="FFFFFF"/>
                <w:lang w:eastAsia="zh-CN"/>
              </w:rPr>
            </w:pPr>
            <w:r>
              <w:rPr>
                <w:rFonts w:ascii="Segoe UI" w:hAnsi="Segoe UI" w:eastAsia="Segoe UI" w:cs="Segoe UI"/>
                <w:i w:val="0"/>
                <w:iCs w:val="0"/>
                <w:caps w:val="0"/>
                <w:color w:val="0F1115"/>
                <w:spacing w:val="0"/>
                <w:sz w:val="24"/>
                <w:szCs w:val="24"/>
                <w:shd w:val="clear" w:fill="FFFFFF"/>
              </w:rPr>
              <w:t>新兴的脑机接口业务与传统业务并非相互割裂，而是对现有业务的深化与延伸，二者在临床场景与技术整合上具有显著的协同效应。</w:t>
            </w:r>
            <w:r>
              <w:rPr>
                <w:rFonts w:hint="default" w:ascii="Times New Roman" w:hAnsi="Times New Roman" w:eastAsia="宋体" w:cs="Times New Roman"/>
                <w:i w:val="0"/>
                <w:iCs w:val="0"/>
                <w:caps w:val="0"/>
                <w:color w:val="0F1115"/>
                <w:spacing w:val="0"/>
                <w:sz w:val="24"/>
                <w:szCs w:val="24"/>
                <w:shd w:val="clear" w:fill="FFFFFF"/>
                <w:lang w:val="en-US" w:eastAsia="zh-CN"/>
              </w:rPr>
              <w:t>如</w:t>
            </w:r>
            <w:r>
              <w:rPr>
                <w:rFonts w:hint="default" w:ascii="Times New Roman" w:hAnsi="Times New Roman" w:eastAsia="宋体" w:cs="Times New Roman"/>
                <w:i w:val="0"/>
                <w:iCs w:val="0"/>
                <w:caps w:val="0"/>
                <w:color w:val="0F1115"/>
                <w:spacing w:val="0"/>
                <w:sz w:val="24"/>
                <w:szCs w:val="24"/>
                <w:shd w:val="clear" w:fill="FFFFFF"/>
              </w:rPr>
              <w:t>在盆底康复领域，</w:t>
            </w:r>
            <w:r>
              <w:rPr>
                <w:rFonts w:ascii="Segoe UI" w:hAnsi="Segoe UI" w:eastAsia="Segoe UI" w:cs="Segoe UI"/>
                <w:i w:val="0"/>
                <w:iCs w:val="0"/>
                <w:caps w:val="0"/>
                <w:color w:val="0F1115"/>
                <w:spacing w:val="0"/>
                <w:sz w:val="24"/>
                <w:szCs w:val="24"/>
                <w:shd w:val="clear" w:fill="FFFFFF"/>
              </w:rPr>
              <w:t>我们长期观察到相当比例</w:t>
            </w:r>
            <w:r>
              <w:rPr>
                <w:rFonts w:hint="eastAsia" w:ascii="Segoe UI" w:hAnsi="Segoe UI" w:cs="Segoe UI"/>
                <w:i w:val="0"/>
                <w:iCs w:val="0"/>
                <w:caps w:val="0"/>
                <w:color w:val="0F1115"/>
                <w:spacing w:val="0"/>
                <w:sz w:val="24"/>
                <w:szCs w:val="24"/>
                <w:shd w:val="clear" w:fill="FFFFFF"/>
                <w:lang w:val="en-US" w:eastAsia="zh-CN"/>
              </w:rPr>
              <w:t>患有</w:t>
            </w:r>
            <w:r>
              <w:rPr>
                <w:rFonts w:ascii="Segoe UI" w:hAnsi="Segoe UI" w:eastAsia="Segoe UI" w:cs="Segoe UI"/>
                <w:i w:val="0"/>
                <w:iCs w:val="0"/>
                <w:caps w:val="0"/>
                <w:color w:val="0F1115"/>
                <w:spacing w:val="0"/>
                <w:sz w:val="24"/>
                <w:szCs w:val="24"/>
                <w:shd w:val="clear" w:fill="FFFFFF"/>
              </w:rPr>
              <w:t>慢性盆腔痛、尿失禁等症状的</w:t>
            </w:r>
            <w:r>
              <w:rPr>
                <w:rFonts w:hint="eastAsia" w:ascii="Segoe UI" w:hAnsi="Segoe UI" w:cs="Segoe UI"/>
                <w:i w:val="0"/>
                <w:iCs w:val="0"/>
                <w:caps w:val="0"/>
                <w:color w:val="0F1115"/>
                <w:spacing w:val="0"/>
                <w:sz w:val="24"/>
                <w:szCs w:val="24"/>
                <w:shd w:val="clear" w:fill="FFFFFF"/>
                <w:lang w:val="en-US" w:eastAsia="zh-CN"/>
              </w:rPr>
              <w:t>盆底疾病</w:t>
            </w:r>
            <w:r>
              <w:rPr>
                <w:rFonts w:ascii="Segoe UI" w:hAnsi="Segoe UI" w:eastAsia="Segoe UI" w:cs="Segoe UI"/>
                <w:i w:val="0"/>
                <w:iCs w:val="0"/>
                <w:caps w:val="0"/>
                <w:color w:val="0F1115"/>
                <w:spacing w:val="0"/>
                <w:sz w:val="24"/>
                <w:szCs w:val="24"/>
                <w:shd w:val="clear" w:fill="FFFFFF"/>
              </w:rPr>
              <w:t>患者，常伴随明显的焦虑、抑郁等情绪心理问题</w:t>
            </w:r>
            <w:r>
              <w:rPr>
                <w:rFonts w:hint="eastAsia" w:ascii="Segoe UI" w:hAnsi="Segoe UI" w:cs="Segoe UI"/>
                <w:i w:val="0"/>
                <w:iCs w:val="0"/>
                <w:caps w:val="0"/>
                <w:color w:val="0F1115"/>
                <w:spacing w:val="0"/>
                <w:sz w:val="24"/>
                <w:szCs w:val="24"/>
                <w:shd w:val="clear" w:fill="FFFFFF"/>
                <w:lang w:eastAsia="zh-CN"/>
              </w:rPr>
              <w:t>。</w:t>
            </w:r>
            <w:r>
              <w:rPr>
                <w:rFonts w:ascii="Segoe UI" w:hAnsi="Segoe UI" w:eastAsia="Segoe UI" w:cs="Segoe UI"/>
                <w:i w:val="0"/>
                <w:iCs w:val="0"/>
                <w:caps w:val="0"/>
                <w:color w:val="0F1115"/>
                <w:spacing w:val="0"/>
                <w:sz w:val="24"/>
                <w:szCs w:val="24"/>
                <w:shd w:val="clear" w:fill="FFFFFF"/>
              </w:rPr>
              <w:t>以往的治疗多侧重于生理层面</w:t>
            </w:r>
            <w:r>
              <w:rPr>
                <w:rFonts w:hint="eastAsia" w:ascii="Segoe UI" w:hAnsi="Segoe UI" w:cs="Segoe UI"/>
                <w:i w:val="0"/>
                <w:iCs w:val="0"/>
                <w:caps w:val="0"/>
                <w:color w:val="0F1115"/>
                <w:spacing w:val="0"/>
                <w:sz w:val="24"/>
                <w:szCs w:val="24"/>
                <w:shd w:val="clear" w:fill="FFFFFF"/>
                <w:lang w:eastAsia="zh-CN"/>
              </w:rPr>
              <w:t>，</w:t>
            </w:r>
            <w:r>
              <w:rPr>
                <w:rFonts w:hint="default" w:ascii="Times New Roman" w:hAnsi="Times New Roman" w:eastAsia="宋体" w:cs="Times New Roman"/>
                <w:i w:val="0"/>
                <w:iCs w:val="0"/>
                <w:caps w:val="0"/>
                <w:color w:val="0F1115"/>
                <w:spacing w:val="0"/>
                <w:sz w:val="24"/>
                <w:szCs w:val="24"/>
                <w:shd w:val="clear" w:fill="FFFFFF"/>
              </w:rPr>
              <w:t>现在通过引入脑机接口技术，我们可以同时评估和干预患者的心理状态，实现“身心同治”，</w:t>
            </w:r>
            <w:r>
              <w:rPr>
                <w:rFonts w:hint="eastAsia" w:cs="Times New Roman"/>
                <w:i w:val="0"/>
                <w:iCs w:val="0"/>
                <w:caps w:val="0"/>
                <w:color w:val="0F1115"/>
                <w:spacing w:val="0"/>
                <w:sz w:val="24"/>
                <w:szCs w:val="24"/>
                <w:shd w:val="clear" w:fill="FFFFFF"/>
                <w:lang w:val="en-US" w:eastAsia="zh-CN"/>
              </w:rPr>
              <w:t>增强了</w:t>
            </w:r>
            <w:r>
              <w:rPr>
                <w:rFonts w:hint="default" w:ascii="Times New Roman" w:hAnsi="Times New Roman" w:eastAsia="宋体" w:cs="Times New Roman"/>
                <w:i w:val="0"/>
                <w:iCs w:val="0"/>
                <w:caps w:val="0"/>
                <w:color w:val="0F1115"/>
                <w:spacing w:val="0"/>
                <w:sz w:val="24"/>
                <w:szCs w:val="24"/>
                <w:shd w:val="clear" w:fill="FFFFFF"/>
              </w:rPr>
              <w:t>客户粘性</w:t>
            </w:r>
            <w:r>
              <w:rPr>
                <w:rFonts w:hint="eastAsia" w:cs="Times New Roman"/>
                <w:i w:val="0"/>
                <w:iCs w:val="0"/>
                <w:caps w:val="0"/>
                <w:color w:val="0F1115"/>
                <w:spacing w:val="0"/>
                <w:sz w:val="24"/>
                <w:szCs w:val="24"/>
                <w:shd w:val="clear" w:fill="FFFFFF"/>
                <w:lang w:val="en-US" w:eastAsia="zh-CN"/>
              </w:rPr>
              <w:t>和</w:t>
            </w:r>
            <w:r>
              <w:rPr>
                <w:rFonts w:hint="default" w:ascii="Times New Roman" w:hAnsi="Times New Roman" w:eastAsia="宋体" w:cs="Times New Roman"/>
                <w:i w:val="0"/>
                <w:iCs w:val="0"/>
                <w:caps w:val="0"/>
                <w:color w:val="0F1115"/>
                <w:spacing w:val="0"/>
                <w:sz w:val="24"/>
                <w:szCs w:val="24"/>
                <w:shd w:val="clear" w:fill="FFFFFF"/>
              </w:rPr>
              <w:t>治疗价值。</w:t>
            </w:r>
          </w:p>
        </w:tc>
      </w:tr>
      <w:tr w14:paraId="15A7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D85C80E">
            <w:pPr>
              <w:ind w:firstLine="0" w:firstLineChars="0"/>
              <w:rPr>
                <w:bCs/>
                <w:iCs/>
                <w:color w:val="000000"/>
              </w:rPr>
            </w:pPr>
            <w:r>
              <w:rPr>
                <w:bCs/>
                <w:iCs/>
                <w:color w:val="000000"/>
              </w:rPr>
              <w:t>风险提示</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6F6A0A07">
            <w:pPr>
              <w:spacing w:line="480" w:lineRule="atLeast"/>
              <w:ind w:firstLine="480"/>
              <w:rPr>
                <w:bCs/>
                <w:iCs/>
              </w:rPr>
            </w:pPr>
            <w:r>
              <w:rPr>
                <w:bCs/>
                <w:iCs/>
              </w:rPr>
              <w:t>以上如涉及对行业的预测、公司发展战略规划等相关内容，不能视作公司或公司管理层对行业、公司发展或业绩的承诺和保证，敬请广大投资者注意投资风险。</w:t>
            </w:r>
          </w:p>
        </w:tc>
      </w:tr>
      <w:tr w14:paraId="2C0E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770B85A">
            <w:pPr>
              <w:ind w:firstLine="0" w:firstLineChars="0"/>
              <w:rPr>
                <w:bCs/>
                <w:iCs/>
                <w:color w:val="000000"/>
              </w:rPr>
            </w:pPr>
            <w:r>
              <w:rPr>
                <w:bCs/>
                <w:iCs/>
                <w:color w:val="000000"/>
              </w:rPr>
              <w:t>是否涉及应当披露重大信息</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13710B98">
            <w:pPr>
              <w:spacing w:line="480" w:lineRule="atLeast"/>
              <w:ind w:firstLine="0" w:firstLineChars="0"/>
              <w:rPr>
                <w:bCs/>
                <w:iCs/>
              </w:rPr>
            </w:pPr>
            <w:r>
              <w:rPr>
                <w:bCs/>
                <w:iCs/>
              </w:rPr>
              <w:t>否</w:t>
            </w:r>
          </w:p>
        </w:tc>
      </w:tr>
      <w:tr w14:paraId="70779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2A53A30">
            <w:pPr>
              <w:ind w:firstLine="0" w:firstLineChars="0"/>
              <w:rPr>
                <w:bCs/>
                <w:iCs/>
                <w:color w:val="000000"/>
              </w:rPr>
            </w:pPr>
            <w:r>
              <w:rPr>
                <w:bCs/>
                <w:iCs/>
                <w:color w:val="000000"/>
              </w:rPr>
              <w:t>日期</w:t>
            </w:r>
          </w:p>
        </w:tc>
        <w:tc>
          <w:tcPr>
            <w:tcW w:w="7025" w:type="dxa"/>
            <w:tcBorders>
              <w:top w:val="single" w:color="auto" w:sz="4" w:space="0"/>
              <w:left w:val="single" w:color="auto" w:sz="4" w:space="0"/>
              <w:bottom w:val="single" w:color="auto" w:sz="4" w:space="0"/>
              <w:right w:val="single" w:color="auto" w:sz="4" w:space="0"/>
            </w:tcBorders>
            <w:shd w:val="clear" w:color="auto" w:fill="auto"/>
            <w:vAlign w:val="center"/>
          </w:tcPr>
          <w:p w14:paraId="48B58495">
            <w:pPr>
              <w:spacing w:line="240" w:lineRule="auto"/>
              <w:ind w:firstLine="0" w:firstLineChars="0"/>
              <w:rPr>
                <w:bCs/>
                <w:iCs/>
                <w:color w:val="000000"/>
              </w:rPr>
            </w:pPr>
            <w:r>
              <w:rPr>
                <w:bCs/>
                <w:iCs/>
                <w:color w:val="000000"/>
              </w:rPr>
              <w:t>2025年</w:t>
            </w:r>
            <w:r>
              <w:rPr>
                <w:rFonts w:hint="eastAsia"/>
                <w:bCs/>
                <w:iCs/>
                <w:color w:val="000000"/>
                <w:lang w:val="en-US" w:eastAsia="zh-CN"/>
              </w:rPr>
              <w:t>12</w:t>
            </w:r>
            <w:r>
              <w:rPr>
                <w:bCs/>
                <w:iCs/>
                <w:color w:val="000000"/>
              </w:rPr>
              <w:t>月</w:t>
            </w:r>
            <w:r>
              <w:rPr>
                <w:rFonts w:hint="eastAsia"/>
                <w:bCs/>
                <w:iCs/>
                <w:color w:val="000000"/>
                <w:lang w:val="en-US" w:eastAsia="zh-CN"/>
              </w:rPr>
              <w:t>22</w:t>
            </w:r>
            <w:r>
              <w:rPr>
                <w:rFonts w:hint="eastAsia"/>
                <w:bCs/>
                <w:iCs/>
                <w:color w:val="000000"/>
              </w:rPr>
              <w:t>日</w:t>
            </w:r>
            <w:r>
              <w:rPr>
                <w:rFonts w:hint="eastAsia"/>
                <w:bCs/>
                <w:iCs/>
                <w:color w:val="000000"/>
                <w:lang w:val="en-US" w:eastAsia="zh-CN"/>
              </w:rPr>
              <w:t>-23日</w:t>
            </w:r>
          </w:p>
        </w:tc>
      </w:tr>
    </w:tbl>
    <w:p w14:paraId="77430F3E">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EA7">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260F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56655">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2352">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60EB">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50C81">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0OWUyNDZmNjMwMjJiZWMyNmQyNjJjMWE5MmRjYjYifQ=="/>
  </w:docVars>
  <w:rsids>
    <w:rsidRoot w:val="421A00E8"/>
    <w:rsid w:val="0000604E"/>
    <w:rsid w:val="00051021"/>
    <w:rsid w:val="0005269E"/>
    <w:rsid w:val="00063468"/>
    <w:rsid w:val="00064FC3"/>
    <w:rsid w:val="00072EC7"/>
    <w:rsid w:val="00077E67"/>
    <w:rsid w:val="00081CA4"/>
    <w:rsid w:val="00094DDB"/>
    <w:rsid w:val="000966EF"/>
    <w:rsid w:val="000A2D4D"/>
    <w:rsid w:val="000B042C"/>
    <w:rsid w:val="000C6D5F"/>
    <w:rsid w:val="000E274E"/>
    <w:rsid w:val="000F026D"/>
    <w:rsid w:val="000F0489"/>
    <w:rsid w:val="000F72AF"/>
    <w:rsid w:val="0010505C"/>
    <w:rsid w:val="001245FA"/>
    <w:rsid w:val="00135185"/>
    <w:rsid w:val="001365C1"/>
    <w:rsid w:val="00155473"/>
    <w:rsid w:val="0015704E"/>
    <w:rsid w:val="0017012E"/>
    <w:rsid w:val="001A26A3"/>
    <w:rsid w:val="001A5D86"/>
    <w:rsid w:val="001D3B0E"/>
    <w:rsid w:val="001D5C86"/>
    <w:rsid w:val="0021391B"/>
    <w:rsid w:val="0022248F"/>
    <w:rsid w:val="002351ED"/>
    <w:rsid w:val="00236A00"/>
    <w:rsid w:val="00237E79"/>
    <w:rsid w:val="0024415A"/>
    <w:rsid w:val="00263CFE"/>
    <w:rsid w:val="00270B35"/>
    <w:rsid w:val="00271652"/>
    <w:rsid w:val="0027744C"/>
    <w:rsid w:val="00281CDF"/>
    <w:rsid w:val="00287E52"/>
    <w:rsid w:val="00287F56"/>
    <w:rsid w:val="002971E8"/>
    <w:rsid w:val="002A03E5"/>
    <w:rsid w:val="002B06D1"/>
    <w:rsid w:val="002B2A83"/>
    <w:rsid w:val="002B3468"/>
    <w:rsid w:val="002C4AB5"/>
    <w:rsid w:val="002C50F8"/>
    <w:rsid w:val="002D0B18"/>
    <w:rsid w:val="002D54CE"/>
    <w:rsid w:val="002E7B76"/>
    <w:rsid w:val="002F4068"/>
    <w:rsid w:val="003154F4"/>
    <w:rsid w:val="00325ADD"/>
    <w:rsid w:val="0033461E"/>
    <w:rsid w:val="00336D58"/>
    <w:rsid w:val="00351A36"/>
    <w:rsid w:val="00351C53"/>
    <w:rsid w:val="00366178"/>
    <w:rsid w:val="0037010F"/>
    <w:rsid w:val="00375C70"/>
    <w:rsid w:val="003863B2"/>
    <w:rsid w:val="00390192"/>
    <w:rsid w:val="003D5FBB"/>
    <w:rsid w:val="003D65A8"/>
    <w:rsid w:val="003F1A1B"/>
    <w:rsid w:val="00401FE3"/>
    <w:rsid w:val="00414CC0"/>
    <w:rsid w:val="00445005"/>
    <w:rsid w:val="00476172"/>
    <w:rsid w:val="00483660"/>
    <w:rsid w:val="00485569"/>
    <w:rsid w:val="004C6129"/>
    <w:rsid w:val="004D2A67"/>
    <w:rsid w:val="004E3520"/>
    <w:rsid w:val="004F40B9"/>
    <w:rsid w:val="00506414"/>
    <w:rsid w:val="00511867"/>
    <w:rsid w:val="005122BC"/>
    <w:rsid w:val="00514788"/>
    <w:rsid w:val="00537400"/>
    <w:rsid w:val="00537BC4"/>
    <w:rsid w:val="005462E5"/>
    <w:rsid w:val="005829F4"/>
    <w:rsid w:val="005C379B"/>
    <w:rsid w:val="005D48A0"/>
    <w:rsid w:val="005F3501"/>
    <w:rsid w:val="005F6C5B"/>
    <w:rsid w:val="00603E07"/>
    <w:rsid w:val="00604039"/>
    <w:rsid w:val="0061408E"/>
    <w:rsid w:val="00626A25"/>
    <w:rsid w:val="006337EB"/>
    <w:rsid w:val="00634A02"/>
    <w:rsid w:val="006436B2"/>
    <w:rsid w:val="00647F15"/>
    <w:rsid w:val="00663D87"/>
    <w:rsid w:val="00677030"/>
    <w:rsid w:val="00681A16"/>
    <w:rsid w:val="00681D02"/>
    <w:rsid w:val="00687DE1"/>
    <w:rsid w:val="006A01B1"/>
    <w:rsid w:val="006A2197"/>
    <w:rsid w:val="006B2597"/>
    <w:rsid w:val="006B2E62"/>
    <w:rsid w:val="006D447A"/>
    <w:rsid w:val="006E790B"/>
    <w:rsid w:val="006F5601"/>
    <w:rsid w:val="00714302"/>
    <w:rsid w:val="00723215"/>
    <w:rsid w:val="007262B1"/>
    <w:rsid w:val="007328DC"/>
    <w:rsid w:val="00732F83"/>
    <w:rsid w:val="00735407"/>
    <w:rsid w:val="00751740"/>
    <w:rsid w:val="00763270"/>
    <w:rsid w:val="00774885"/>
    <w:rsid w:val="00790DF8"/>
    <w:rsid w:val="007A16EC"/>
    <w:rsid w:val="007F1142"/>
    <w:rsid w:val="008210A1"/>
    <w:rsid w:val="00846FD9"/>
    <w:rsid w:val="008512D7"/>
    <w:rsid w:val="0088448D"/>
    <w:rsid w:val="008874F8"/>
    <w:rsid w:val="00890DBA"/>
    <w:rsid w:val="008A7CF6"/>
    <w:rsid w:val="008B3EE1"/>
    <w:rsid w:val="008C3BE3"/>
    <w:rsid w:val="008D0FBF"/>
    <w:rsid w:val="008E0EEF"/>
    <w:rsid w:val="008E122B"/>
    <w:rsid w:val="008E2A63"/>
    <w:rsid w:val="008E3C20"/>
    <w:rsid w:val="008E3FF3"/>
    <w:rsid w:val="008F77BB"/>
    <w:rsid w:val="00902042"/>
    <w:rsid w:val="00904F6C"/>
    <w:rsid w:val="0092118D"/>
    <w:rsid w:val="00921D7A"/>
    <w:rsid w:val="00926CA1"/>
    <w:rsid w:val="00954A0C"/>
    <w:rsid w:val="00954C64"/>
    <w:rsid w:val="009677F3"/>
    <w:rsid w:val="00992D38"/>
    <w:rsid w:val="009A2C82"/>
    <w:rsid w:val="009A7DD2"/>
    <w:rsid w:val="009D7198"/>
    <w:rsid w:val="009E2491"/>
    <w:rsid w:val="00A10E1E"/>
    <w:rsid w:val="00A22D29"/>
    <w:rsid w:val="00A26F73"/>
    <w:rsid w:val="00A33EBB"/>
    <w:rsid w:val="00A50F81"/>
    <w:rsid w:val="00A53596"/>
    <w:rsid w:val="00A73B84"/>
    <w:rsid w:val="00A76B98"/>
    <w:rsid w:val="00A9309A"/>
    <w:rsid w:val="00AA021C"/>
    <w:rsid w:val="00AA23FA"/>
    <w:rsid w:val="00AD317C"/>
    <w:rsid w:val="00AD67E0"/>
    <w:rsid w:val="00AE190D"/>
    <w:rsid w:val="00AF563F"/>
    <w:rsid w:val="00B15B2F"/>
    <w:rsid w:val="00B26E56"/>
    <w:rsid w:val="00B314A3"/>
    <w:rsid w:val="00B367A4"/>
    <w:rsid w:val="00B37457"/>
    <w:rsid w:val="00B424C9"/>
    <w:rsid w:val="00B63C0C"/>
    <w:rsid w:val="00B87D00"/>
    <w:rsid w:val="00BA31F1"/>
    <w:rsid w:val="00BA38E4"/>
    <w:rsid w:val="00BA4D2D"/>
    <w:rsid w:val="00BA5116"/>
    <w:rsid w:val="00BE1875"/>
    <w:rsid w:val="00BE217C"/>
    <w:rsid w:val="00BE5C88"/>
    <w:rsid w:val="00BF287C"/>
    <w:rsid w:val="00C01893"/>
    <w:rsid w:val="00C232FC"/>
    <w:rsid w:val="00C264E4"/>
    <w:rsid w:val="00C34692"/>
    <w:rsid w:val="00C40F6C"/>
    <w:rsid w:val="00C41705"/>
    <w:rsid w:val="00C62508"/>
    <w:rsid w:val="00C7027D"/>
    <w:rsid w:val="00C73805"/>
    <w:rsid w:val="00C760B0"/>
    <w:rsid w:val="00C7765A"/>
    <w:rsid w:val="00C86A27"/>
    <w:rsid w:val="00C95628"/>
    <w:rsid w:val="00C9793C"/>
    <w:rsid w:val="00CA5580"/>
    <w:rsid w:val="00CD08FE"/>
    <w:rsid w:val="00CF0BDA"/>
    <w:rsid w:val="00D010CB"/>
    <w:rsid w:val="00D0124E"/>
    <w:rsid w:val="00D023E4"/>
    <w:rsid w:val="00D03EBD"/>
    <w:rsid w:val="00D202B1"/>
    <w:rsid w:val="00D20B7D"/>
    <w:rsid w:val="00D254C4"/>
    <w:rsid w:val="00D319F9"/>
    <w:rsid w:val="00D34236"/>
    <w:rsid w:val="00D36E0D"/>
    <w:rsid w:val="00D64F2C"/>
    <w:rsid w:val="00D65BCC"/>
    <w:rsid w:val="00D663D8"/>
    <w:rsid w:val="00D73F35"/>
    <w:rsid w:val="00D867DF"/>
    <w:rsid w:val="00DB467D"/>
    <w:rsid w:val="00DC6DB7"/>
    <w:rsid w:val="00DD3FBC"/>
    <w:rsid w:val="00DE305F"/>
    <w:rsid w:val="00DE400C"/>
    <w:rsid w:val="00E06CE8"/>
    <w:rsid w:val="00E10695"/>
    <w:rsid w:val="00E33C86"/>
    <w:rsid w:val="00E655C2"/>
    <w:rsid w:val="00E66B98"/>
    <w:rsid w:val="00E932C3"/>
    <w:rsid w:val="00E9717C"/>
    <w:rsid w:val="00EB1A6C"/>
    <w:rsid w:val="00EC0126"/>
    <w:rsid w:val="00EC295E"/>
    <w:rsid w:val="00ED23F9"/>
    <w:rsid w:val="00EE0526"/>
    <w:rsid w:val="00EE24B4"/>
    <w:rsid w:val="00EE5002"/>
    <w:rsid w:val="00EF10E1"/>
    <w:rsid w:val="00F10C21"/>
    <w:rsid w:val="00F15F49"/>
    <w:rsid w:val="00FA1605"/>
    <w:rsid w:val="00FD1285"/>
    <w:rsid w:val="00FE3F80"/>
    <w:rsid w:val="01852063"/>
    <w:rsid w:val="01C51B35"/>
    <w:rsid w:val="02760E3B"/>
    <w:rsid w:val="0321400D"/>
    <w:rsid w:val="036A7762"/>
    <w:rsid w:val="03EF5EB9"/>
    <w:rsid w:val="03FA021E"/>
    <w:rsid w:val="041D3F2D"/>
    <w:rsid w:val="04E3780D"/>
    <w:rsid w:val="05260C54"/>
    <w:rsid w:val="05DD0407"/>
    <w:rsid w:val="05E337FC"/>
    <w:rsid w:val="069B135D"/>
    <w:rsid w:val="069C7C93"/>
    <w:rsid w:val="070842DC"/>
    <w:rsid w:val="070A727B"/>
    <w:rsid w:val="0726123E"/>
    <w:rsid w:val="0731192F"/>
    <w:rsid w:val="076F3599"/>
    <w:rsid w:val="07AF7E3A"/>
    <w:rsid w:val="086E30CB"/>
    <w:rsid w:val="087D7BFC"/>
    <w:rsid w:val="08C64073"/>
    <w:rsid w:val="08D24321"/>
    <w:rsid w:val="09101723"/>
    <w:rsid w:val="09412D13"/>
    <w:rsid w:val="099B1D4D"/>
    <w:rsid w:val="09D102B6"/>
    <w:rsid w:val="09DF6945"/>
    <w:rsid w:val="09F328D9"/>
    <w:rsid w:val="0A220E20"/>
    <w:rsid w:val="0A4B12B3"/>
    <w:rsid w:val="0AE422C6"/>
    <w:rsid w:val="0B037A92"/>
    <w:rsid w:val="0B7256FC"/>
    <w:rsid w:val="0B8401A9"/>
    <w:rsid w:val="0B875F6D"/>
    <w:rsid w:val="0C660EC7"/>
    <w:rsid w:val="0C7E7C46"/>
    <w:rsid w:val="0CD12600"/>
    <w:rsid w:val="0D2235D4"/>
    <w:rsid w:val="0D5D11BA"/>
    <w:rsid w:val="0DCA3C27"/>
    <w:rsid w:val="0DD81262"/>
    <w:rsid w:val="0E1E006A"/>
    <w:rsid w:val="0E6619A5"/>
    <w:rsid w:val="0ECE7CE8"/>
    <w:rsid w:val="0F1113DA"/>
    <w:rsid w:val="0F5117D6"/>
    <w:rsid w:val="0F7A0F1C"/>
    <w:rsid w:val="0F925474"/>
    <w:rsid w:val="103F5AD3"/>
    <w:rsid w:val="10A312B4"/>
    <w:rsid w:val="10B20618"/>
    <w:rsid w:val="119500A0"/>
    <w:rsid w:val="11A958FA"/>
    <w:rsid w:val="11B11607"/>
    <w:rsid w:val="11B6115E"/>
    <w:rsid w:val="11BA3663"/>
    <w:rsid w:val="11BB562D"/>
    <w:rsid w:val="121D3BF2"/>
    <w:rsid w:val="126C4455"/>
    <w:rsid w:val="12F30075"/>
    <w:rsid w:val="138A5F38"/>
    <w:rsid w:val="13A337F2"/>
    <w:rsid w:val="13DF6C1A"/>
    <w:rsid w:val="13EE43C3"/>
    <w:rsid w:val="14A84752"/>
    <w:rsid w:val="15042DCB"/>
    <w:rsid w:val="15154AEF"/>
    <w:rsid w:val="15D90184"/>
    <w:rsid w:val="1635389E"/>
    <w:rsid w:val="16573B76"/>
    <w:rsid w:val="165968EA"/>
    <w:rsid w:val="166C5E7A"/>
    <w:rsid w:val="169C5A2D"/>
    <w:rsid w:val="169F376F"/>
    <w:rsid w:val="16CA07EC"/>
    <w:rsid w:val="16D871BB"/>
    <w:rsid w:val="16FC7880"/>
    <w:rsid w:val="17EA6C51"/>
    <w:rsid w:val="18000331"/>
    <w:rsid w:val="180876B7"/>
    <w:rsid w:val="18AD1873"/>
    <w:rsid w:val="18C775CB"/>
    <w:rsid w:val="18C9566A"/>
    <w:rsid w:val="18DF304D"/>
    <w:rsid w:val="18F845CE"/>
    <w:rsid w:val="192F353E"/>
    <w:rsid w:val="1A13108F"/>
    <w:rsid w:val="1A3F504D"/>
    <w:rsid w:val="1A8769F4"/>
    <w:rsid w:val="1A8F4290"/>
    <w:rsid w:val="1AB82A70"/>
    <w:rsid w:val="1AD86198"/>
    <w:rsid w:val="1B1536CC"/>
    <w:rsid w:val="1BA21994"/>
    <w:rsid w:val="1BAE0248"/>
    <w:rsid w:val="1BE66379"/>
    <w:rsid w:val="1BF537FE"/>
    <w:rsid w:val="1C872CDB"/>
    <w:rsid w:val="1D1F1166"/>
    <w:rsid w:val="1D656D82"/>
    <w:rsid w:val="1D903E12"/>
    <w:rsid w:val="1DC94027"/>
    <w:rsid w:val="1E4F69D1"/>
    <w:rsid w:val="1F2305DA"/>
    <w:rsid w:val="1F572E39"/>
    <w:rsid w:val="1F8B2AE2"/>
    <w:rsid w:val="1FDE70B6"/>
    <w:rsid w:val="1FF23A15"/>
    <w:rsid w:val="20B21F93"/>
    <w:rsid w:val="20C55EE0"/>
    <w:rsid w:val="20D46448"/>
    <w:rsid w:val="2113029B"/>
    <w:rsid w:val="211C60E8"/>
    <w:rsid w:val="213D605E"/>
    <w:rsid w:val="21582E98"/>
    <w:rsid w:val="21785046"/>
    <w:rsid w:val="220A2C61"/>
    <w:rsid w:val="220D5A31"/>
    <w:rsid w:val="2241392C"/>
    <w:rsid w:val="22A2261D"/>
    <w:rsid w:val="237256DF"/>
    <w:rsid w:val="23BE2857"/>
    <w:rsid w:val="23C16186"/>
    <w:rsid w:val="243248B3"/>
    <w:rsid w:val="24BA1251"/>
    <w:rsid w:val="25B032A3"/>
    <w:rsid w:val="25F53697"/>
    <w:rsid w:val="264834DB"/>
    <w:rsid w:val="271E64A6"/>
    <w:rsid w:val="273D6BFC"/>
    <w:rsid w:val="277B46DA"/>
    <w:rsid w:val="27C42DE0"/>
    <w:rsid w:val="28221B0A"/>
    <w:rsid w:val="28737D99"/>
    <w:rsid w:val="2875754E"/>
    <w:rsid w:val="28A6330A"/>
    <w:rsid w:val="28F26962"/>
    <w:rsid w:val="29464110"/>
    <w:rsid w:val="296B27BD"/>
    <w:rsid w:val="297C1854"/>
    <w:rsid w:val="29A45A46"/>
    <w:rsid w:val="29C66496"/>
    <w:rsid w:val="29D4073A"/>
    <w:rsid w:val="2A506E02"/>
    <w:rsid w:val="2A6232D9"/>
    <w:rsid w:val="2A9801E3"/>
    <w:rsid w:val="2A9C2048"/>
    <w:rsid w:val="2AF9250F"/>
    <w:rsid w:val="2B8723B0"/>
    <w:rsid w:val="2BCF1785"/>
    <w:rsid w:val="2BD20FFC"/>
    <w:rsid w:val="2BF10937"/>
    <w:rsid w:val="2C0461E6"/>
    <w:rsid w:val="2C1D0DE3"/>
    <w:rsid w:val="2CAE16B2"/>
    <w:rsid w:val="2CD967A8"/>
    <w:rsid w:val="2CF33D99"/>
    <w:rsid w:val="2D502C75"/>
    <w:rsid w:val="2D990AC0"/>
    <w:rsid w:val="2DB96A6D"/>
    <w:rsid w:val="2E0942F9"/>
    <w:rsid w:val="2E422F06"/>
    <w:rsid w:val="2E615D08"/>
    <w:rsid w:val="2EF27BE3"/>
    <w:rsid w:val="2F2D3A13"/>
    <w:rsid w:val="2FD006E3"/>
    <w:rsid w:val="30332B06"/>
    <w:rsid w:val="30616556"/>
    <w:rsid w:val="30F1618A"/>
    <w:rsid w:val="313034EA"/>
    <w:rsid w:val="31422069"/>
    <w:rsid w:val="3147705B"/>
    <w:rsid w:val="31F97D80"/>
    <w:rsid w:val="321B062D"/>
    <w:rsid w:val="325319D6"/>
    <w:rsid w:val="326A6587"/>
    <w:rsid w:val="32A80181"/>
    <w:rsid w:val="32FB4313"/>
    <w:rsid w:val="332A12C2"/>
    <w:rsid w:val="33350C99"/>
    <w:rsid w:val="333F7A14"/>
    <w:rsid w:val="334D4E72"/>
    <w:rsid w:val="33756FB2"/>
    <w:rsid w:val="33E74334"/>
    <w:rsid w:val="33F21F69"/>
    <w:rsid w:val="340D366E"/>
    <w:rsid w:val="344D7F0F"/>
    <w:rsid w:val="34A262E1"/>
    <w:rsid w:val="34AB38D1"/>
    <w:rsid w:val="35054858"/>
    <w:rsid w:val="350902DA"/>
    <w:rsid w:val="351E3905"/>
    <w:rsid w:val="3538471B"/>
    <w:rsid w:val="35467305"/>
    <w:rsid w:val="35523A2F"/>
    <w:rsid w:val="355359F9"/>
    <w:rsid w:val="360E0311"/>
    <w:rsid w:val="363751AC"/>
    <w:rsid w:val="369B31B3"/>
    <w:rsid w:val="36D641EB"/>
    <w:rsid w:val="36E40E7F"/>
    <w:rsid w:val="36FA722C"/>
    <w:rsid w:val="373C01E0"/>
    <w:rsid w:val="37C02A49"/>
    <w:rsid w:val="38D24DAB"/>
    <w:rsid w:val="393A4F06"/>
    <w:rsid w:val="3A3159CD"/>
    <w:rsid w:val="3A8F302F"/>
    <w:rsid w:val="3AAD79C2"/>
    <w:rsid w:val="3AAF722D"/>
    <w:rsid w:val="3AD663DF"/>
    <w:rsid w:val="3AE74C2D"/>
    <w:rsid w:val="3B0D5063"/>
    <w:rsid w:val="3B947CD8"/>
    <w:rsid w:val="3B9C7819"/>
    <w:rsid w:val="3C0A1F3E"/>
    <w:rsid w:val="3D0929B2"/>
    <w:rsid w:val="3D113391"/>
    <w:rsid w:val="3D732DB4"/>
    <w:rsid w:val="3D8B35C2"/>
    <w:rsid w:val="3DEA5509"/>
    <w:rsid w:val="3DFF04CC"/>
    <w:rsid w:val="3EB94B1E"/>
    <w:rsid w:val="3EBC460F"/>
    <w:rsid w:val="3EC05384"/>
    <w:rsid w:val="3EDE57C4"/>
    <w:rsid w:val="3F010273"/>
    <w:rsid w:val="3F255940"/>
    <w:rsid w:val="3F390548"/>
    <w:rsid w:val="3F7942AE"/>
    <w:rsid w:val="3F7E511A"/>
    <w:rsid w:val="3FE21909"/>
    <w:rsid w:val="402204A1"/>
    <w:rsid w:val="404B5A35"/>
    <w:rsid w:val="40AD77A5"/>
    <w:rsid w:val="413A5BBD"/>
    <w:rsid w:val="41830E2B"/>
    <w:rsid w:val="4191768D"/>
    <w:rsid w:val="41A77371"/>
    <w:rsid w:val="421A00E8"/>
    <w:rsid w:val="428159D7"/>
    <w:rsid w:val="428E5D95"/>
    <w:rsid w:val="42F11136"/>
    <w:rsid w:val="4315253F"/>
    <w:rsid w:val="43282273"/>
    <w:rsid w:val="43963180"/>
    <w:rsid w:val="43B45FE5"/>
    <w:rsid w:val="43C662FC"/>
    <w:rsid w:val="43C95804"/>
    <w:rsid w:val="44074D8C"/>
    <w:rsid w:val="44783E70"/>
    <w:rsid w:val="44E74A1A"/>
    <w:rsid w:val="452A17CA"/>
    <w:rsid w:val="45B35CD2"/>
    <w:rsid w:val="462A56D0"/>
    <w:rsid w:val="46491165"/>
    <w:rsid w:val="46B1257F"/>
    <w:rsid w:val="470E79D1"/>
    <w:rsid w:val="480B792A"/>
    <w:rsid w:val="480C2163"/>
    <w:rsid w:val="48226E12"/>
    <w:rsid w:val="48517FE9"/>
    <w:rsid w:val="48677399"/>
    <w:rsid w:val="48AD7435"/>
    <w:rsid w:val="48E24983"/>
    <w:rsid w:val="49365ADC"/>
    <w:rsid w:val="498A77E3"/>
    <w:rsid w:val="498B6D54"/>
    <w:rsid w:val="49B616D0"/>
    <w:rsid w:val="49CB1BAA"/>
    <w:rsid w:val="49FF5D06"/>
    <w:rsid w:val="4A275032"/>
    <w:rsid w:val="4A5C671F"/>
    <w:rsid w:val="4A6A7C4E"/>
    <w:rsid w:val="4A7144FF"/>
    <w:rsid w:val="4A8A4060"/>
    <w:rsid w:val="4A985763"/>
    <w:rsid w:val="4B0435C5"/>
    <w:rsid w:val="4B5D2CD5"/>
    <w:rsid w:val="4C0E0F2C"/>
    <w:rsid w:val="4C1C3566"/>
    <w:rsid w:val="4C743C8F"/>
    <w:rsid w:val="4C973DD0"/>
    <w:rsid w:val="4CCE063F"/>
    <w:rsid w:val="4D691D3D"/>
    <w:rsid w:val="4DE34C75"/>
    <w:rsid w:val="4E0205B1"/>
    <w:rsid w:val="4E6A2668"/>
    <w:rsid w:val="4EFA2326"/>
    <w:rsid w:val="4F141C5B"/>
    <w:rsid w:val="4F29184C"/>
    <w:rsid w:val="4F2A278D"/>
    <w:rsid w:val="4F810090"/>
    <w:rsid w:val="50937738"/>
    <w:rsid w:val="5124051D"/>
    <w:rsid w:val="5191021A"/>
    <w:rsid w:val="51AE428B"/>
    <w:rsid w:val="51C413B8"/>
    <w:rsid w:val="51D35A9F"/>
    <w:rsid w:val="51DC4954"/>
    <w:rsid w:val="51FD5486"/>
    <w:rsid w:val="52252A8C"/>
    <w:rsid w:val="525B1CAD"/>
    <w:rsid w:val="52696B6E"/>
    <w:rsid w:val="526A31DC"/>
    <w:rsid w:val="52C448DC"/>
    <w:rsid w:val="532F5254"/>
    <w:rsid w:val="533956A0"/>
    <w:rsid w:val="53566988"/>
    <w:rsid w:val="535B607A"/>
    <w:rsid w:val="536D782E"/>
    <w:rsid w:val="53DD0E57"/>
    <w:rsid w:val="53FD6E04"/>
    <w:rsid w:val="546608B4"/>
    <w:rsid w:val="546828EF"/>
    <w:rsid w:val="54893697"/>
    <w:rsid w:val="55B50378"/>
    <w:rsid w:val="5658621E"/>
    <w:rsid w:val="565C2507"/>
    <w:rsid w:val="566B7B47"/>
    <w:rsid w:val="5691220A"/>
    <w:rsid w:val="56A33C92"/>
    <w:rsid w:val="56D60E3E"/>
    <w:rsid w:val="57087F99"/>
    <w:rsid w:val="5714693E"/>
    <w:rsid w:val="577C4B7A"/>
    <w:rsid w:val="57914433"/>
    <w:rsid w:val="57C27F27"/>
    <w:rsid w:val="57D828FE"/>
    <w:rsid w:val="583E6D91"/>
    <w:rsid w:val="585202CE"/>
    <w:rsid w:val="5853404D"/>
    <w:rsid w:val="585A2A77"/>
    <w:rsid w:val="589E6E07"/>
    <w:rsid w:val="58D2085F"/>
    <w:rsid w:val="590F1AB3"/>
    <w:rsid w:val="595F0AA1"/>
    <w:rsid w:val="59802BFB"/>
    <w:rsid w:val="59A82DA4"/>
    <w:rsid w:val="59AD307A"/>
    <w:rsid w:val="5A1B369A"/>
    <w:rsid w:val="5A1F4951"/>
    <w:rsid w:val="5A646688"/>
    <w:rsid w:val="5A984EB0"/>
    <w:rsid w:val="5AC06FC6"/>
    <w:rsid w:val="5AD11B61"/>
    <w:rsid w:val="5ADC3C17"/>
    <w:rsid w:val="5B4812AC"/>
    <w:rsid w:val="5B50206A"/>
    <w:rsid w:val="5B8D3163"/>
    <w:rsid w:val="5BB35DCB"/>
    <w:rsid w:val="5BBB382C"/>
    <w:rsid w:val="5BC64C07"/>
    <w:rsid w:val="5BE45F24"/>
    <w:rsid w:val="5C0A2FF4"/>
    <w:rsid w:val="5C28646B"/>
    <w:rsid w:val="5C501697"/>
    <w:rsid w:val="5C8A31FF"/>
    <w:rsid w:val="5C975B35"/>
    <w:rsid w:val="5CDC2A68"/>
    <w:rsid w:val="5CED69AD"/>
    <w:rsid w:val="5D610403"/>
    <w:rsid w:val="5DB00ACF"/>
    <w:rsid w:val="5DB50BEA"/>
    <w:rsid w:val="5DEF1EB3"/>
    <w:rsid w:val="5F487ACD"/>
    <w:rsid w:val="5FAB3D7E"/>
    <w:rsid w:val="5FC73AE4"/>
    <w:rsid w:val="5FFE7DD3"/>
    <w:rsid w:val="602A42E4"/>
    <w:rsid w:val="60395C5E"/>
    <w:rsid w:val="60597AB8"/>
    <w:rsid w:val="608C5797"/>
    <w:rsid w:val="60925EB2"/>
    <w:rsid w:val="60CE7B5E"/>
    <w:rsid w:val="61042B59"/>
    <w:rsid w:val="61534507"/>
    <w:rsid w:val="61937245"/>
    <w:rsid w:val="62166177"/>
    <w:rsid w:val="6230178D"/>
    <w:rsid w:val="627A2F3C"/>
    <w:rsid w:val="62954A01"/>
    <w:rsid w:val="62D3168C"/>
    <w:rsid w:val="632F4494"/>
    <w:rsid w:val="634405AB"/>
    <w:rsid w:val="635373B8"/>
    <w:rsid w:val="63736738"/>
    <w:rsid w:val="63950E07"/>
    <w:rsid w:val="63A4729C"/>
    <w:rsid w:val="63AB4186"/>
    <w:rsid w:val="643C54C2"/>
    <w:rsid w:val="64A7791B"/>
    <w:rsid w:val="64B17EC2"/>
    <w:rsid w:val="64E72007"/>
    <w:rsid w:val="65081772"/>
    <w:rsid w:val="65130235"/>
    <w:rsid w:val="651359D4"/>
    <w:rsid w:val="656A7A0B"/>
    <w:rsid w:val="65B23EF2"/>
    <w:rsid w:val="65D85B03"/>
    <w:rsid w:val="66372649"/>
    <w:rsid w:val="6676485A"/>
    <w:rsid w:val="670071F1"/>
    <w:rsid w:val="674E7C4A"/>
    <w:rsid w:val="67672ABA"/>
    <w:rsid w:val="677D40AA"/>
    <w:rsid w:val="67854BF0"/>
    <w:rsid w:val="67965CD2"/>
    <w:rsid w:val="67A96C2F"/>
    <w:rsid w:val="67EA28E8"/>
    <w:rsid w:val="681A3274"/>
    <w:rsid w:val="68352C25"/>
    <w:rsid w:val="683706DE"/>
    <w:rsid w:val="68AA16D0"/>
    <w:rsid w:val="690D65E2"/>
    <w:rsid w:val="692923AE"/>
    <w:rsid w:val="695E6FEA"/>
    <w:rsid w:val="69677B23"/>
    <w:rsid w:val="696D635C"/>
    <w:rsid w:val="69A8538D"/>
    <w:rsid w:val="69F06698"/>
    <w:rsid w:val="6A7A254F"/>
    <w:rsid w:val="6A8D3E81"/>
    <w:rsid w:val="6AD41B9F"/>
    <w:rsid w:val="6B095ECC"/>
    <w:rsid w:val="6B5B2176"/>
    <w:rsid w:val="6B8660E8"/>
    <w:rsid w:val="6B8D3B9F"/>
    <w:rsid w:val="6BD24A49"/>
    <w:rsid w:val="6BE4624A"/>
    <w:rsid w:val="6C091C4C"/>
    <w:rsid w:val="6C150AF4"/>
    <w:rsid w:val="6CA67BE1"/>
    <w:rsid w:val="6CD23160"/>
    <w:rsid w:val="6CD54F42"/>
    <w:rsid w:val="6D13480F"/>
    <w:rsid w:val="6D24268C"/>
    <w:rsid w:val="6DBC528A"/>
    <w:rsid w:val="6DE24A42"/>
    <w:rsid w:val="6E056B89"/>
    <w:rsid w:val="6E565636"/>
    <w:rsid w:val="6ECC4355"/>
    <w:rsid w:val="6F280D81"/>
    <w:rsid w:val="6F381049"/>
    <w:rsid w:val="6FC8230E"/>
    <w:rsid w:val="6FE8093F"/>
    <w:rsid w:val="700823C4"/>
    <w:rsid w:val="702305E1"/>
    <w:rsid w:val="702932C7"/>
    <w:rsid w:val="7104581E"/>
    <w:rsid w:val="710857EE"/>
    <w:rsid w:val="719C71CA"/>
    <w:rsid w:val="71D01737"/>
    <w:rsid w:val="71D7083C"/>
    <w:rsid w:val="72694884"/>
    <w:rsid w:val="72AF5315"/>
    <w:rsid w:val="735D2FC3"/>
    <w:rsid w:val="73C16D4D"/>
    <w:rsid w:val="746A3BCE"/>
    <w:rsid w:val="75681C87"/>
    <w:rsid w:val="75871EE4"/>
    <w:rsid w:val="7621378B"/>
    <w:rsid w:val="7626077B"/>
    <w:rsid w:val="76402E45"/>
    <w:rsid w:val="766C59F7"/>
    <w:rsid w:val="768E1E11"/>
    <w:rsid w:val="773D3837"/>
    <w:rsid w:val="776B5CAF"/>
    <w:rsid w:val="785146DF"/>
    <w:rsid w:val="78F12E51"/>
    <w:rsid w:val="799A7812"/>
    <w:rsid w:val="79F20909"/>
    <w:rsid w:val="79FC52E4"/>
    <w:rsid w:val="7A444ABF"/>
    <w:rsid w:val="7A931D3D"/>
    <w:rsid w:val="7AE746E5"/>
    <w:rsid w:val="7AE85672"/>
    <w:rsid w:val="7B076373"/>
    <w:rsid w:val="7B986CF0"/>
    <w:rsid w:val="7B9E7A95"/>
    <w:rsid w:val="7C1A5EF5"/>
    <w:rsid w:val="7C4411C4"/>
    <w:rsid w:val="7C6B04FF"/>
    <w:rsid w:val="7D745356"/>
    <w:rsid w:val="7DAF5C99"/>
    <w:rsid w:val="7DBB1012"/>
    <w:rsid w:val="7DDA520A"/>
    <w:rsid w:val="7E9F26E2"/>
    <w:rsid w:val="7EAA1892"/>
    <w:rsid w:val="7ECC2A49"/>
    <w:rsid w:val="7F087BEA"/>
    <w:rsid w:val="7F405C73"/>
    <w:rsid w:val="7F6148CC"/>
    <w:rsid w:val="7FE505C8"/>
    <w:rsid w:val="7FE54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4"/>
    <w:autoRedefine/>
    <w:qFormat/>
    <w:uiPriority w:val="0"/>
    <w:pPr>
      <w:spacing w:line="240" w:lineRule="auto"/>
    </w:pPr>
    <w:rPr>
      <w:sz w:val="18"/>
      <w:szCs w:val="18"/>
    </w:rPr>
  </w:style>
  <w:style w:type="paragraph" w:styleId="4">
    <w:name w:val="footer"/>
    <w:basedOn w:val="1"/>
    <w:link w:val="19"/>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link w:val="18"/>
    <w:autoRedefine/>
    <w:qFormat/>
    <w:uiPriority w:val="0"/>
    <w:pPr>
      <w:tabs>
        <w:tab w:val="center" w:pos="4153"/>
        <w:tab w:val="right" w:pos="8306"/>
      </w:tabs>
      <w:snapToGrid w:val="0"/>
      <w:spacing w:line="240" w:lineRule="auto"/>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rPr>
  </w:style>
  <w:style w:type="paragraph" w:styleId="7">
    <w:name w:val="Normal (Web)"/>
    <w:basedOn w:val="1"/>
    <w:qFormat/>
    <w:uiPriority w:val="0"/>
    <w:pPr>
      <w:spacing w:beforeAutospacing="1" w:afterAutospacing="1"/>
      <w:jc w:val="left"/>
    </w:pPr>
    <w:rPr>
      <w:kern w:val="0"/>
    </w:rPr>
  </w:style>
  <w:style w:type="paragraph" w:styleId="8">
    <w:name w:val="annotation subject"/>
    <w:basedOn w:val="2"/>
    <w:next w:val="2"/>
    <w:link w:val="16"/>
    <w:autoRedefine/>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autoRedefine/>
    <w:qFormat/>
    <w:uiPriority w:val="0"/>
    <w:rPr>
      <w:sz w:val="21"/>
      <w:szCs w:val="21"/>
    </w:rPr>
  </w:style>
  <w:style w:type="character" w:customStyle="1" w:styleId="14">
    <w:name w:val="批注框文本 Char"/>
    <w:basedOn w:val="10"/>
    <w:link w:val="3"/>
    <w:autoRedefine/>
    <w:qFormat/>
    <w:uiPriority w:val="0"/>
    <w:rPr>
      <w:kern w:val="2"/>
      <w:sz w:val="18"/>
      <w:szCs w:val="18"/>
    </w:rPr>
  </w:style>
  <w:style w:type="character" w:customStyle="1" w:styleId="15">
    <w:name w:val="批注文字 Char"/>
    <w:basedOn w:val="10"/>
    <w:link w:val="2"/>
    <w:autoRedefine/>
    <w:qFormat/>
    <w:uiPriority w:val="0"/>
    <w:rPr>
      <w:kern w:val="2"/>
      <w:sz w:val="24"/>
      <w:szCs w:val="24"/>
    </w:rPr>
  </w:style>
  <w:style w:type="character" w:customStyle="1" w:styleId="16">
    <w:name w:val="批注主题 Char"/>
    <w:basedOn w:val="15"/>
    <w:link w:val="8"/>
    <w:autoRedefine/>
    <w:qFormat/>
    <w:uiPriority w:val="0"/>
    <w:rPr>
      <w:b/>
      <w:bCs/>
      <w:kern w:val="2"/>
      <w:sz w:val="24"/>
      <w:szCs w:val="24"/>
    </w:rPr>
  </w:style>
  <w:style w:type="paragraph" w:customStyle="1" w:styleId="17">
    <w:name w:val="修订1"/>
    <w:autoRedefine/>
    <w:hidden/>
    <w:semiHidden/>
    <w:qFormat/>
    <w:uiPriority w:val="99"/>
    <w:rPr>
      <w:rFonts w:ascii="Times New Roman" w:hAnsi="Times New Roman" w:eastAsia="宋体" w:cs="Times New Roman"/>
      <w:kern w:val="2"/>
      <w:sz w:val="24"/>
      <w:szCs w:val="24"/>
      <w:lang w:val="en-US" w:eastAsia="zh-CN" w:bidi="ar-SA"/>
    </w:rPr>
  </w:style>
  <w:style w:type="character" w:customStyle="1" w:styleId="18">
    <w:name w:val="页眉 Char"/>
    <w:basedOn w:val="10"/>
    <w:link w:val="5"/>
    <w:autoRedefine/>
    <w:qFormat/>
    <w:uiPriority w:val="0"/>
    <w:rPr>
      <w:kern w:val="2"/>
      <w:sz w:val="18"/>
      <w:szCs w:val="18"/>
    </w:rPr>
  </w:style>
  <w:style w:type="character" w:customStyle="1" w:styleId="19">
    <w:name w:val="页脚 Char"/>
    <w:basedOn w:val="10"/>
    <w:link w:val="4"/>
    <w:autoRedefine/>
    <w:qFormat/>
    <w:uiPriority w:val="0"/>
    <w:rPr>
      <w:kern w:val="2"/>
      <w:sz w:val="18"/>
      <w:szCs w:val="18"/>
    </w:rPr>
  </w:style>
  <w:style w:type="paragraph" w:customStyle="1" w:styleId="20">
    <w:name w:val="修订2"/>
    <w:autoRedefine/>
    <w:hidden/>
    <w:unhideWhenUsed/>
    <w:qFormat/>
    <w:uiPriority w:val="99"/>
    <w:rPr>
      <w:rFonts w:ascii="Times New Roman" w:hAnsi="Times New Roman" w:eastAsia="宋体" w:cs="Times New Roman"/>
      <w:kern w:val="2"/>
      <w:sz w:val="24"/>
      <w:szCs w:val="24"/>
      <w:lang w:val="en-US" w:eastAsia="zh-CN" w:bidi="ar-SA"/>
    </w:rPr>
  </w:style>
  <w:style w:type="paragraph" w:styleId="21">
    <w:name w:val="List Paragraph"/>
    <w:basedOn w:val="1"/>
    <w:qFormat/>
    <w:uiPriority w:val="34"/>
    <w:pPr>
      <w:spacing w:line="240" w:lineRule="auto"/>
      <w:ind w:left="720" w:firstLine="0" w:firstLineChars="0"/>
      <w:contextualSpacing/>
    </w:pPr>
    <w:rPr>
      <w:rFonts w:asciiTheme="minorHAnsi" w:hAnsiTheme="minorHAnsi" w:eastAsiaTheme="minorEastAsia" w:cstheme="minorBidi"/>
      <w:sz w:val="22"/>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2325</Words>
  <Characters>2394</Characters>
  <Lines>16</Lines>
  <Paragraphs>4</Paragraphs>
  <TotalTime>18</TotalTime>
  <ScaleCrop>false</ScaleCrop>
  <LinksUpToDate>false</LinksUpToDate>
  <CharactersWithSpaces>2549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2024-01-02T06:49:00Z</dcterms:created>
  <dc:creator>倪清清</dc:creator>
  <cp:lastModifiedBy>微明</cp:lastModifiedBy>
  <cp:lastPrinted>2024-01-02T06:55:00Z</cp:lastPrinted>
  <dcterms:modified xsi:type="dcterms:W3CDTF">2025-12-24T07:35:52Z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F514B4D6229B403DB5A174E12533586C_13</vt:lpwstr>
  </property>
  <property fmtid="{D5CDD505-2E9C-101B-9397-08002B2CF9AE}" pid="4" name="KSOTemplateDocerSaveRecord">
    <vt:lpwstr>eyJoZGlkIjoiMmRkZjAyNGEyMzdiZTVmNjQ5NDFiZTdlNGI2ZmFlOWYiLCJ1c2VySWQiOiIzMTI5NDEyOTUifQ==</vt:lpwstr>
  </property>
</Properties>
</file>