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right="240"/>
        <w:jc w:val="right"/>
        <w:rPr>
          <w:bCs/>
          <w:iCs/>
          <w:color w:val="000000"/>
          <w:sz w:val="24"/>
        </w:rPr>
      </w:pPr>
      <w:r>
        <w:rPr>
          <w:bCs/>
          <w:iCs/>
          <w:color w:val="000000"/>
          <w:sz w:val="24"/>
        </w:rPr>
        <w:t xml:space="preserve">证券代码：688362                                 证券简称：甬矽电子    </w:t>
      </w:r>
    </w:p>
    <w:p>
      <w:pPr>
        <w:spacing w:line="360" w:lineRule="auto"/>
        <w:jc w:val="center"/>
        <w:rPr>
          <w:b/>
          <w:bCs/>
          <w:iCs/>
          <w:color w:val="000000"/>
          <w:sz w:val="28"/>
        </w:rPr>
      </w:pPr>
      <w:r>
        <w:rPr>
          <w:b/>
          <w:bCs/>
          <w:sz w:val="28"/>
        </w:rPr>
        <w:t>甬矽电子（宁波）</w:t>
      </w:r>
      <w:r>
        <w:rPr>
          <w:b/>
          <w:bCs/>
          <w:iCs/>
          <w:color w:val="000000"/>
          <w:sz w:val="28"/>
        </w:rPr>
        <w:t>股份有限公司投资者关系活动记录表</w:t>
      </w:r>
    </w:p>
    <w:p>
      <w:pPr>
        <w:spacing w:line="400" w:lineRule="exact"/>
        <w:jc w:val="right"/>
        <w:rPr>
          <w:bCs/>
          <w:iCs/>
          <w:color w:val="000000"/>
          <w:sz w:val="24"/>
        </w:rPr>
      </w:pPr>
      <w:r>
        <w:rPr>
          <w:bCs/>
          <w:iCs/>
          <w:color w:val="000000"/>
          <w:sz w:val="24"/>
        </w:rPr>
        <w:t>编号：2025-0</w:t>
      </w:r>
      <w:r>
        <w:rPr>
          <w:rFonts w:hint="eastAsia"/>
          <w:bCs/>
          <w:iCs/>
          <w:color w:val="000000"/>
          <w:sz w:val="24"/>
        </w:rPr>
        <w:t>13</w:t>
      </w:r>
    </w:p>
    <w:tbl>
      <w:tblPr>
        <w:tblStyle w:val="8"/>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6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bCs/>
                <w:iCs/>
                <w:color w:val="000000"/>
                <w:sz w:val="24"/>
              </w:rPr>
              <w:t>投资者关系活动类别</w:t>
            </w:r>
          </w:p>
          <w:p>
            <w:pPr>
              <w:spacing w:line="360" w:lineRule="auto"/>
              <w:rPr>
                <w:bCs/>
                <w:iCs/>
                <w:color w:val="000000"/>
                <w:sz w:val="24"/>
              </w:rPr>
            </w:pPr>
          </w:p>
        </w:tc>
        <w:tc>
          <w:tcPr>
            <w:tcW w:w="6048" w:type="dxa"/>
            <w:tcBorders>
              <w:top w:val="single" w:color="auto" w:sz="4" w:space="0"/>
              <w:left w:val="single" w:color="auto" w:sz="4" w:space="0"/>
              <w:bottom w:val="single" w:color="auto" w:sz="4" w:space="0"/>
              <w:right w:val="single" w:color="auto" w:sz="4" w:space="0"/>
            </w:tcBorders>
          </w:tcPr>
          <w:p>
            <w:pPr>
              <w:spacing w:line="480" w:lineRule="atLeast"/>
              <w:rPr>
                <w:bCs/>
                <w:iCs/>
                <w:color w:val="000000"/>
                <w:sz w:val="24"/>
              </w:rPr>
            </w:pPr>
            <w:r>
              <w:rPr>
                <w:bCs/>
                <w:iCs/>
                <w:color w:val="000000"/>
                <w:sz w:val="24"/>
              </w:rPr>
              <w:sym w:font="Wingdings 2" w:char="00A3"/>
            </w:r>
            <w:r>
              <w:rPr>
                <w:sz w:val="24"/>
              </w:rPr>
              <w:t xml:space="preserve">特定对象调研        </w:t>
            </w:r>
            <w:r>
              <w:rPr>
                <w:rFonts w:hint="eastAsia"/>
                <w:bCs/>
                <w:iCs/>
                <w:color w:val="000000"/>
                <w:sz w:val="24"/>
              </w:rPr>
              <w:t>□</w:t>
            </w:r>
            <w:r>
              <w:rPr>
                <w:sz w:val="24"/>
              </w:rPr>
              <w:t>分析师会议</w:t>
            </w:r>
          </w:p>
          <w:p>
            <w:pPr>
              <w:spacing w:line="480" w:lineRule="atLeast"/>
              <w:rPr>
                <w:bCs/>
                <w:iCs/>
                <w:color w:val="000000"/>
                <w:sz w:val="24"/>
              </w:rPr>
            </w:pPr>
            <w:r>
              <w:rPr>
                <w:rFonts w:hint="eastAsia"/>
                <w:bCs/>
                <w:iCs/>
                <w:color w:val="000000"/>
                <w:sz w:val="24"/>
              </w:rPr>
              <w:t>□</w:t>
            </w:r>
            <w:r>
              <w:rPr>
                <w:sz w:val="24"/>
              </w:rPr>
              <w:t xml:space="preserve">媒体采访            </w:t>
            </w:r>
            <w:r>
              <w:rPr>
                <w:bCs/>
                <w:iCs/>
                <w:color w:val="000000"/>
                <w:sz w:val="24"/>
              </w:rPr>
              <w:sym w:font="Wingdings 2" w:char="00A3"/>
            </w:r>
            <w:r>
              <w:rPr>
                <w:sz w:val="24"/>
              </w:rPr>
              <w:t>业绩说明会</w:t>
            </w:r>
          </w:p>
          <w:p>
            <w:pPr>
              <w:spacing w:line="480" w:lineRule="atLeast"/>
              <w:rPr>
                <w:bCs/>
                <w:iCs/>
                <w:color w:val="000000"/>
                <w:sz w:val="24"/>
              </w:rPr>
            </w:pPr>
            <w:r>
              <w:rPr>
                <w:rFonts w:hint="eastAsia"/>
                <w:bCs/>
                <w:iCs/>
                <w:color w:val="000000"/>
                <w:sz w:val="24"/>
              </w:rPr>
              <w:t>□</w:t>
            </w:r>
            <w:r>
              <w:rPr>
                <w:sz w:val="24"/>
              </w:rPr>
              <w:t xml:space="preserve">新闻发布会          </w:t>
            </w:r>
            <w:r>
              <w:rPr>
                <w:rFonts w:hint="eastAsia"/>
                <w:bCs/>
                <w:iCs/>
                <w:color w:val="000000"/>
                <w:sz w:val="24"/>
              </w:rPr>
              <w:t>□</w:t>
            </w:r>
            <w:r>
              <w:rPr>
                <w:sz w:val="24"/>
              </w:rPr>
              <w:t>路演活动</w:t>
            </w:r>
          </w:p>
          <w:p>
            <w:pPr>
              <w:tabs>
                <w:tab w:val="left" w:pos="3045"/>
                <w:tab w:val="center" w:pos="3199"/>
              </w:tabs>
              <w:spacing w:line="480" w:lineRule="atLeast"/>
              <w:rPr>
                <w:bCs/>
                <w:iCs/>
                <w:color w:val="000000"/>
                <w:sz w:val="24"/>
              </w:rPr>
            </w:pPr>
            <w:r>
              <w:rPr>
                <w:bCs/>
                <w:iCs/>
                <w:color w:val="000000"/>
                <w:sz w:val="24"/>
              </w:rPr>
              <w:sym w:font="Wingdings 2" w:char="0052"/>
            </w:r>
            <w:r>
              <w:rPr>
                <w:sz w:val="24"/>
              </w:rPr>
              <w:t>现场参观</w:t>
            </w:r>
            <w:r>
              <w:rPr>
                <w:bCs/>
                <w:iCs/>
                <w:color w:val="000000"/>
                <w:sz w:val="24"/>
              </w:rPr>
              <w:tab/>
            </w:r>
          </w:p>
          <w:p>
            <w:pPr>
              <w:tabs>
                <w:tab w:val="center" w:pos="3199"/>
              </w:tabs>
              <w:spacing w:line="480" w:lineRule="atLeast"/>
              <w:rPr>
                <w:bCs/>
                <w:iCs/>
                <w:color w:val="000000"/>
                <w:sz w:val="24"/>
              </w:rPr>
            </w:pPr>
            <w:r>
              <w:rPr>
                <w:bCs/>
                <w:iCs/>
                <w:color w:val="000000"/>
                <w:sz w:val="24"/>
              </w:rPr>
              <w:sym w:font="Wingdings 2" w:char="0052"/>
            </w:r>
            <w:r>
              <w:rPr>
                <w:sz w:val="24"/>
              </w:rPr>
              <w:t>其他 （</w:t>
            </w:r>
            <w:r>
              <w:rPr>
                <w:rFonts w:hint="eastAsia"/>
                <w:sz w:val="24"/>
                <w:u w:val="single"/>
              </w:rPr>
              <w:t>投资者开放日</w:t>
            </w:r>
            <w:r>
              <w:rPr>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bCs/>
                <w:iCs/>
                <w:color w:val="000000"/>
                <w:sz w:val="24"/>
              </w:rPr>
              <w:t>参与单位名称及人员姓名</w:t>
            </w:r>
          </w:p>
        </w:tc>
        <w:tc>
          <w:tcPr>
            <w:tcW w:w="6048"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rFonts w:hint="eastAsia"/>
                <w:bCs/>
                <w:iCs/>
                <w:color w:val="000000"/>
                <w:sz w:val="24"/>
                <w:lang w:bidi="ar"/>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bCs/>
                <w:iCs/>
                <w:color w:val="000000"/>
                <w:sz w:val="24"/>
              </w:rPr>
              <w:t>时间</w:t>
            </w:r>
          </w:p>
        </w:tc>
        <w:tc>
          <w:tcPr>
            <w:tcW w:w="6048"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bCs/>
                <w:iCs/>
                <w:color w:val="000000"/>
                <w:sz w:val="24"/>
              </w:rPr>
              <w:t>2025年</w:t>
            </w:r>
            <w:r>
              <w:rPr>
                <w:rFonts w:hint="eastAsia"/>
                <w:bCs/>
                <w:iCs/>
                <w:color w:val="000000"/>
                <w:sz w:val="24"/>
              </w:rPr>
              <w:t>12</w:t>
            </w:r>
            <w:r>
              <w:rPr>
                <w:bCs/>
                <w:iCs/>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bCs/>
                <w:iCs/>
                <w:color w:val="000000"/>
                <w:sz w:val="24"/>
              </w:rPr>
              <w:t>地点</w:t>
            </w:r>
          </w:p>
        </w:tc>
        <w:tc>
          <w:tcPr>
            <w:tcW w:w="6048"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bCs/>
                <w:iCs/>
                <w:color w:val="000000"/>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87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bCs/>
                <w:iCs/>
                <w:color w:val="000000"/>
                <w:sz w:val="24"/>
              </w:rPr>
              <w:t>上市公司接待人员姓名</w:t>
            </w:r>
          </w:p>
        </w:tc>
        <w:tc>
          <w:tcPr>
            <w:tcW w:w="6048" w:type="dxa"/>
            <w:tcBorders>
              <w:top w:val="single" w:color="auto" w:sz="4" w:space="0"/>
              <w:left w:val="single" w:color="auto" w:sz="4" w:space="0"/>
              <w:bottom w:val="single" w:color="auto" w:sz="4" w:space="0"/>
              <w:right w:val="single" w:color="auto" w:sz="4" w:space="0"/>
            </w:tcBorders>
            <w:vAlign w:val="center"/>
          </w:tcPr>
          <w:p>
            <w:pPr>
              <w:widowControl/>
              <w:jc w:val="left"/>
              <w:rPr>
                <w:bCs/>
                <w:iCs/>
                <w:color w:val="000000"/>
                <w:sz w:val="24"/>
              </w:rPr>
            </w:pPr>
            <w:r>
              <w:rPr>
                <w:rFonts w:hint="eastAsia"/>
                <w:bCs/>
                <w:iCs/>
                <w:color w:val="000000"/>
                <w:sz w:val="24"/>
              </w:rPr>
              <w:t>董事长、总经理王顺波先生</w:t>
            </w:r>
          </w:p>
          <w:p>
            <w:pPr>
              <w:widowControl/>
              <w:jc w:val="left"/>
              <w:rPr>
                <w:bCs/>
                <w:iCs/>
                <w:color w:val="000000"/>
                <w:sz w:val="24"/>
              </w:rPr>
            </w:pPr>
            <w:r>
              <w:rPr>
                <w:rFonts w:hint="eastAsia"/>
                <w:bCs/>
                <w:iCs/>
                <w:color w:val="000000"/>
                <w:sz w:val="24"/>
              </w:rPr>
              <w:t>董事、副总经理徐玉鹏先生</w:t>
            </w:r>
          </w:p>
          <w:p>
            <w:pPr>
              <w:widowControl/>
              <w:jc w:val="left"/>
              <w:rPr>
                <w:bCs/>
                <w:iCs/>
                <w:color w:val="000000"/>
                <w:sz w:val="24"/>
              </w:rPr>
            </w:pPr>
            <w:r>
              <w:rPr>
                <w:rFonts w:hint="eastAsia"/>
                <w:bCs/>
                <w:iCs/>
                <w:color w:val="000000"/>
                <w:sz w:val="24"/>
              </w:rPr>
              <w:t>董事会秘书、副总经理</w:t>
            </w:r>
            <w:r>
              <w:rPr>
                <w:bCs/>
                <w:iCs/>
                <w:color w:val="000000"/>
                <w:sz w:val="24"/>
              </w:rPr>
              <w:t>李大林先生</w:t>
            </w:r>
          </w:p>
          <w:p>
            <w:pPr>
              <w:widowControl/>
              <w:jc w:val="left"/>
              <w:rPr>
                <w:bCs/>
                <w:iCs/>
                <w:color w:val="000000"/>
                <w:sz w:val="24"/>
              </w:rPr>
            </w:pPr>
            <w:r>
              <w:rPr>
                <w:rFonts w:ascii="宋体" w:hAnsi="宋体" w:cs="宋体"/>
                <w:kern w:val="0"/>
                <w:sz w:val="24"/>
                <w:lang w:bidi="ar"/>
              </w:rPr>
              <w:t>研发总监钟磊</w:t>
            </w:r>
            <w:r>
              <w:rPr>
                <w:rFonts w:hint="eastAsia" w:ascii="宋体" w:hAnsi="宋体" w:cs="宋体"/>
                <w:kern w:val="0"/>
                <w:sz w:val="24"/>
                <w:lang w:bidi="ar"/>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pPr>
              <w:spacing w:line="480" w:lineRule="atLeast"/>
              <w:rPr>
                <w:bCs/>
                <w:iCs/>
                <w:color w:val="000000"/>
                <w:sz w:val="24"/>
              </w:rPr>
            </w:pPr>
            <w:r>
              <w:rPr>
                <w:bCs/>
                <w:iCs/>
                <w:color w:val="000000"/>
                <w:sz w:val="24"/>
              </w:rPr>
              <w:t>投资者关系活动主要内容介绍</w:t>
            </w:r>
          </w:p>
        </w:tc>
        <w:tc>
          <w:tcPr>
            <w:tcW w:w="6048" w:type="dxa"/>
            <w:tcBorders>
              <w:top w:val="single" w:color="auto" w:sz="4" w:space="0"/>
              <w:left w:val="single" w:color="auto" w:sz="4" w:space="0"/>
              <w:bottom w:val="single" w:color="auto" w:sz="4" w:space="0"/>
              <w:right w:val="single" w:color="auto" w:sz="4" w:space="0"/>
            </w:tcBorders>
          </w:tcPr>
          <w:p>
            <w:pPr>
              <w:widowControl/>
              <w:spacing w:line="360" w:lineRule="auto"/>
              <w:ind w:firstLine="482" w:firstLineChars="200"/>
              <w:jc w:val="both"/>
              <w:rPr>
                <w:sz w:val="24"/>
              </w:rPr>
            </w:pPr>
            <w:r>
              <w:rPr>
                <w:b/>
                <w:bCs/>
                <w:sz w:val="24"/>
              </w:rPr>
              <w:t>1、</w:t>
            </w:r>
            <w:r>
              <w:rPr>
                <w:rFonts w:hint="eastAsia"/>
                <w:b/>
                <w:bCs/>
                <w:sz w:val="24"/>
              </w:rPr>
              <w:t>公司整体发展经营情况介绍</w:t>
            </w:r>
            <w:r>
              <w:rPr>
                <w:b/>
                <w:bCs/>
                <w:sz w:val="24"/>
              </w:rPr>
              <w:t xml:space="preserve">？ </w:t>
            </w:r>
            <w:r>
              <w:rPr>
                <w:sz w:val="24"/>
              </w:rPr>
              <w:t xml:space="preserve"> </w:t>
            </w:r>
          </w:p>
          <w:p>
            <w:pPr>
              <w:widowControl/>
              <w:spacing w:line="360" w:lineRule="auto"/>
              <w:ind w:firstLine="480" w:firstLineChars="200"/>
              <w:jc w:val="both"/>
              <w:rPr>
                <w:sz w:val="24"/>
              </w:rPr>
            </w:pPr>
            <w:r>
              <w:rPr>
                <w:rFonts w:hint="eastAsia"/>
                <w:sz w:val="24"/>
              </w:rPr>
              <w:t>甬矽电子</w:t>
            </w:r>
            <w:r>
              <w:rPr>
                <w:sz w:val="24"/>
              </w:rPr>
              <w:t>成立于2017年11月，</w:t>
            </w:r>
            <w:r>
              <w:rPr>
                <w:rFonts w:hint="eastAsia"/>
                <w:sz w:val="24"/>
              </w:rPr>
              <w:t>从成立之初就</w:t>
            </w:r>
            <w:r>
              <w:rPr>
                <w:sz w:val="24"/>
              </w:rPr>
              <w:t>聚焦集成电路中高端及先进晶圆级封装测试服务，终端包含消费类电子、物联网、工业/汽车电子及AI高性能计算领域等。</w:t>
            </w:r>
            <w:r>
              <w:rPr>
                <w:rFonts w:hint="eastAsia"/>
                <w:sz w:val="24"/>
              </w:rPr>
              <w:t>公司总部位于浙江省宁波市余姚市，在上海、深圳、中国台湾等地设销售办公室，拥有两个生产基地，一期占地126亩，投资45亿，专注成熟封装产品；二期占地300亩，预计总投资110亿，聚焦先进封装产品；未来拟于马来西亚建设三期基地以更好服务海外大客户。</w:t>
            </w:r>
            <w:r>
              <w:rPr>
                <w:rFonts w:hint="eastAsia"/>
                <w:sz w:val="24"/>
                <w:lang w:val="en-US" w:eastAsia="zh-CN"/>
              </w:rPr>
              <w:t>公司</w:t>
            </w:r>
            <w:r>
              <w:rPr>
                <w:rFonts w:hint="eastAsia"/>
                <w:sz w:val="24"/>
              </w:rPr>
              <w:t>从2018年6月实现量产，当年实现营业收入超过3000万；2019年全年出货量超过9亿颗并通过车规认证。2022年于科创板上市；2023年二期工厂启动；2024年营收增长率超过50%。从公司成立至今，出货量及营业收入一直保持增长状态。</w:t>
            </w:r>
          </w:p>
          <w:p>
            <w:pPr>
              <w:widowControl/>
              <w:numPr>
                <w:ilvl w:val="0"/>
                <w:numId w:val="0"/>
              </w:numPr>
              <w:spacing w:line="360" w:lineRule="auto"/>
              <w:ind w:firstLine="482" w:firstLineChars="200"/>
              <w:jc w:val="both"/>
              <w:rPr>
                <w:rFonts w:hint="eastAsia"/>
                <w:b/>
                <w:bCs/>
                <w:sz w:val="24"/>
                <w:lang w:val="en-US" w:eastAsia="zh-CN"/>
              </w:rPr>
            </w:pPr>
            <w:r>
              <w:rPr>
                <w:rFonts w:hint="eastAsia" w:ascii="Times New Roman" w:hAnsi="Times New Roman" w:eastAsia="宋体" w:cs="Times New Roman"/>
                <w:b/>
                <w:bCs/>
                <w:kern w:val="2"/>
                <w:sz w:val="24"/>
                <w:szCs w:val="24"/>
                <w:lang w:val="en-US" w:eastAsia="zh-CN" w:bidi="ar-SA"/>
              </w:rPr>
              <w:t>2、</w:t>
            </w:r>
            <w:r>
              <w:rPr>
                <w:rFonts w:hint="eastAsia"/>
                <w:b/>
                <w:bCs/>
                <w:sz w:val="24"/>
              </w:rPr>
              <w:t>盈利能力</w:t>
            </w:r>
            <w:r>
              <w:rPr>
                <w:rFonts w:hint="eastAsia"/>
                <w:b/>
                <w:bCs/>
                <w:sz w:val="24"/>
                <w:lang w:val="en-US" w:eastAsia="zh-CN"/>
              </w:rPr>
              <w:t>情况？</w:t>
            </w:r>
          </w:p>
          <w:p>
            <w:pPr>
              <w:widowControl/>
              <w:numPr>
                <w:ilvl w:val="0"/>
                <w:numId w:val="0"/>
              </w:numPr>
              <w:spacing w:line="360" w:lineRule="auto"/>
              <w:ind w:firstLine="480" w:firstLineChars="200"/>
              <w:jc w:val="both"/>
              <w:rPr>
                <w:sz w:val="24"/>
              </w:rPr>
            </w:pPr>
            <w:r>
              <w:rPr>
                <w:rFonts w:hint="eastAsia"/>
                <w:sz w:val="24"/>
              </w:rPr>
              <w:t>2019年至2021年，随着公司高端封装产品系统级封装产品（SiP）收入规模及占比、毛利率的提高，QFN等产品销售单价及毛利率的提高，公司毛利率及净利润逐年增长。2022年至2023年，受宏观经济增速放缓、国际地缘政治冲突和行业周期性波动等多重因素影响，以消费电子为代表的终端市场整体需求疲软，半导体行业需求出现较大波动，整体出现周期性下行。下游客户处于去库存阶段，并且2023年二期工厂启动，相应固定资产折旧进入财务报表中，导致该阶段毛利率处于较低水平。2023年后迎来行业周期拐点，随着全球终端消费市场出现回暖，产业链去库存周期基本结束，叠加AI应用场景不断涌现，集成电路行业整体景气度回升明显在公司层面，得益于海外大客户突破并且在2025年持续放量，以及原有核心客户群高速成长，规模效应逐渐体现，整体毛利率回升。</w:t>
            </w:r>
          </w:p>
          <w:p>
            <w:pPr>
              <w:widowControl/>
              <w:numPr>
                <w:ilvl w:val="0"/>
                <w:numId w:val="0"/>
              </w:numPr>
              <w:spacing w:line="360" w:lineRule="auto"/>
              <w:ind w:firstLine="482" w:firstLineChars="200"/>
              <w:jc w:val="both"/>
              <w:rPr>
                <w:rFonts w:hint="eastAsia"/>
                <w:b/>
                <w:bCs/>
                <w:sz w:val="24"/>
                <w:lang w:val="en-US" w:eastAsia="zh-CN"/>
              </w:rPr>
            </w:pPr>
            <w:r>
              <w:rPr>
                <w:rFonts w:hint="eastAsia" w:cs="Times New Roman"/>
                <w:b/>
                <w:bCs/>
                <w:kern w:val="2"/>
                <w:sz w:val="24"/>
                <w:szCs w:val="24"/>
                <w:lang w:val="en-US" w:eastAsia="zh-CN" w:bidi="ar-SA"/>
              </w:rPr>
              <w:t>3</w:t>
            </w:r>
            <w:r>
              <w:rPr>
                <w:rFonts w:hint="eastAsia" w:ascii="Times New Roman" w:hAnsi="Times New Roman" w:eastAsia="宋体" w:cs="Times New Roman"/>
                <w:b/>
                <w:bCs/>
                <w:kern w:val="2"/>
                <w:sz w:val="24"/>
                <w:szCs w:val="24"/>
                <w:lang w:val="en-US" w:eastAsia="zh-CN" w:bidi="ar-SA"/>
              </w:rPr>
              <w:t>、</w:t>
            </w:r>
            <w:r>
              <w:rPr>
                <w:rFonts w:hint="eastAsia"/>
                <w:b/>
                <w:bCs/>
                <w:sz w:val="24"/>
              </w:rPr>
              <w:t>资本开支及折旧</w:t>
            </w:r>
            <w:r>
              <w:rPr>
                <w:rFonts w:hint="eastAsia"/>
                <w:b/>
                <w:bCs/>
                <w:sz w:val="24"/>
                <w:lang w:val="en-US" w:eastAsia="zh-CN"/>
              </w:rPr>
              <w:t>情况？</w:t>
            </w:r>
          </w:p>
          <w:p>
            <w:pPr>
              <w:widowControl/>
              <w:numPr>
                <w:ilvl w:val="0"/>
                <w:numId w:val="0"/>
              </w:numPr>
              <w:spacing w:line="360" w:lineRule="auto"/>
              <w:ind w:firstLine="480" w:firstLineChars="200"/>
              <w:jc w:val="both"/>
              <w:rPr>
                <w:sz w:val="24"/>
              </w:rPr>
            </w:pPr>
            <w:r>
              <w:rPr>
                <w:rFonts w:hint="eastAsia"/>
                <w:sz w:val="24"/>
              </w:rPr>
              <w:t>集成电路封装和测试行业是较为典型的资本密集型行业，收入规模同固定资产投资规模直接相关。从成立至今，公司主营业务持续快速发展，固定资产投资规模及折旧金额也随之逐年增加，公司2025年资本开支规模在25亿元以内，较2024年保持稳定，主要投向包括现有产品线产能扩张、晶圆级封装及2.5D、FC-BGA等先进封装领域。随着固定资产的继续投入，2025年全年折旧的绝对金额预计相比2024年仍会上涨。固定资产中约90%为专用设备，投入专用设备金额大且折旧年限较短，折旧年限集中在5至8年内，导致前期折旧金额较大。受该因素影响，公司近年来毛利率和EBITDA Ratio、净利润和EBITDA之间都存在较大差异。未来随着原有投资设备折旧期陆续到期，折旧压力缓解，利润空间有望逐步释放，对整体盈利能力产生积极影响，毛利率将逐渐趋近于EBITDA Ratio，公司理想的稳态毛利率在25%-30%左右。</w:t>
            </w:r>
          </w:p>
          <w:p>
            <w:pPr>
              <w:widowControl/>
              <w:spacing w:line="360" w:lineRule="auto"/>
              <w:ind w:firstLine="482" w:firstLineChars="200"/>
              <w:jc w:val="both"/>
              <w:rPr>
                <w:rFonts w:hint="eastAsia"/>
                <w:b/>
                <w:bCs/>
                <w:sz w:val="24"/>
                <w:lang w:val="en-US" w:eastAsia="zh-CN"/>
              </w:rPr>
            </w:pPr>
            <w:r>
              <w:rPr>
                <w:rFonts w:hint="eastAsia"/>
                <w:b/>
                <w:bCs/>
                <w:sz w:val="24"/>
                <w:lang w:val="en-US" w:eastAsia="zh-CN"/>
              </w:rPr>
              <w:t>4、</w:t>
            </w:r>
            <w:r>
              <w:rPr>
                <w:rFonts w:hint="eastAsia"/>
                <w:b/>
                <w:bCs/>
                <w:sz w:val="24"/>
              </w:rPr>
              <w:t>产品</w:t>
            </w:r>
            <w:r>
              <w:rPr>
                <w:rFonts w:hint="eastAsia"/>
                <w:b/>
                <w:bCs/>
                <w:sz w:val="24"/>
                <w:lang w:val="en-US" w:eastAsia="zh-CN"/>
              </w:rPr>
              <w:t>下游应用领域</w:t>
            </w:r>
            <w:r>
              <w:rPr>
                <w:rFonts w:hint="eastAsia"/>
                <w:b/>
                <w:bCs/>
                <w:sz w:val="24"/>
              </w:rPr>
              <w:t>结构</w:t>
            </w:r>
            <w:r>
              <w:rPr>
                <w:rFonts w:hint="eastAsia"/>
                <w:b/>
                <w:bCs/>
                <w:sz w:val="24"/>
                <w:lang w:val="en-US" w:eastAsia="zh-CN"/>
              </w:rPr>
              <w:t>情况？</w:t>
            </w:r>
          </w:p>
          <w:p>
            <w:pPr>
              <w:widowControl/>
              <w:spacing w:line="360" w:lineRule="auto"/>
              <w:ind w:firstLine="480" w:firstLineChars="200"/>
              <w:jc w:val="both"/>
              <w:rPr>
                <w:sz w:val="24"/>
              </w:rPr>
            </w:pPr>
            <w:r>
              <w:rPr>
                <w:sz w:val="24"/>
              </w:rPr>
              <w:t>AIoT营收占比接近70%，目前</w:t>
            </w:r>
            <w:r>
              <w:rPr>
                <w:rFonts w:hint="eastAsia"/>
                <w:sz w:val="24"/>
              </w:rPr>
              <w:t>A</w:t>
            </w:r>
            <w:r>
              <w:rPr>
                <w:sz w:val="24"/>
              </w:rPr>
              <w:t>IoT领域处于“创新驱动”周期，AI驱动下新应用场景渗透率提升，下游需求</w:t>
            </w:r>
            <w:r>
              <w:rPr>
                <w:rFonts w:hint="eastAsia"/>
                <w:sz w:val="24"/>
              </w:rPr>
              <w:t>预计将会持续</w:t>
            </w:r>
            <w:r>
              <w:rPr>
                <w:sz w:val="24"/>
              </w:rPr>
              <w:t>增长；PA营收占比约为10%，后续重心以PAMiF及PAMiD模组类产品为主；安防营收占比约为10%，整体增速平稳；运算和车规产品</w:t>
            </w:r>
            <w:r>
              <w:rPr>
                <w:rFonts w:hint="eastAsia"/>
                <w:sz w:val="24"/>
              </w:rPr>
              <w:t>营收</w:t>
            </w:r>
            <w:r>
              <w:rPr>
                <w:sz w:val="24"/>
              </w:rPr>
              <w:t>合计占比10%左右，</w:t>
            </w:r>
            <w:r>
              <w:rPr>
                <w:rFonts w:hint="eastAsia"/>
                <w:sz w:val="24"/>
              </w:rPr>
              <w:t>未来随着国内车规设计公司的发展以及海外车规大厂本土化布局战略的推进和AI发展对运算类芯片的需求，预计</w:t>
            </w:r>
            <w:r>
              <w:rPr>
                <w:sz w:val="24"/>
              </w:rPr>
              <w:t>运算和车规</w:t>
            </w:r>
            <w:r>
              <w:rPr>
                <w:rFonts w:hint="eastAsia"/>
                <w:sz w:val="24"/>
              </w:rPr>
              <w:t>领域的增速较快，营收占比将会持续提升</w:t>
            </w:r>
            <w:r>
              <w:rPr>
                <w:sz w:val="24"/>
              </w:rPr>
              <w:t>。</w:t>
            </w:r>
          </w:p>
          <w:p>
            <w:pPr>
              <w:widowControl/>
              <w:numPr>
                <w:ilvl w:val="0"/>
                <w:numId w:val="0"/>
              </w:numPr>
              <w:spacing w:line="360" w:lineRule="auto"/>
              <w:ind w:firstLine="482" w:firstLineChars="200"/>
              <w:jc w:val="both"/>
              <w:rPr>
                <w:b/>
                <w:bCs/>
                <w:sz w:val="24"/>
              </w:rPr>
            </w:pPr>
            <w:r>
              <w:rPr>
                <w:rFonts w:hint="eastAsia" w:cs="Times New Roman"/>
                <w:b/>
                <w:bCs/>
                <w:kern w:val="2"/>
                <w:sz w:val="24"/>
                <w:szCs w:val="24"/>
                <w:lang w:val="en-US" w:eastAsia="zh-CN" w:bidi="ar-SA"/>
              </w:rPr>
              <w:t>5</w:t>
            </w:r>
            <w:r>
              <w:rPr>
                <w:rFonts w:ascii="Times New Roman" w:hAnsi="Times New Roman" w:eastAsia="宋体" w:cs="Times New Roman"/>
                <w:b/>
                <w:bCs/>
                <w:kern w:val="2"/>
                <w:sz w:val="24"/>
                <w:szCs w:val="24"/>
                <w:lang w:val="en-US" w:eastAsia="zh-CN" w:bidi="ar-SA"/>
              </w:rPr>
              <w:t>、</w:t>
            </w:r>
            <w:r>
              <w:rPr>
                <w:rFonts w:hint="eastAsia"/>
                <w:b/>
                <w:bCs/>
                <w:sz w:val="24"/>
              </w:rPr>
              <w:t>目前先进封装领域行业及公司概况</w:t>
            </w:r>
            <w:r>
              <w:rPr>
                <w:b/>
                <w:bCs/>
                <w:sz w:val="24"/>
              </w:rPr>
              <w:t>？</w:t>
            </w:r>
          </w:p>
          <w:p>
            <w:pPr>
              <w:widowControl/>
              <w:spacing w:line="360" w:lineRule="auto"/>
              <w:ind w:firstLine="480" w:firstLineChars="200"/>
              <w:jc w:val="both"/>
              <w:rPr>
                <w:sz w:val="24"/>
              </w:rPr>
            </w:pPr>
            <w:r>
              <w:rPr>
                <w:rFonts w:hint="eastAsia"/>
                <w:sz w:val="24"/>
              </w:rPr>
              <w:t>AI大模型（训练/推理）及HPC云端AI需求推动芯片向先进制程（2.5D/3D）快速迭代；智驾、AI眼镜等端侧AI新应用场景拓展促使芯片向高算力和低功耗异构集成演进；AI发展从结构和需求端驱动芯片加速迭代；智能驾驶、AI机器人（含工业机器人），从芯片数量、精度、智能化三个维度驱动传感器芯片发展，传感器向与AI深度融合演进（感知+决策一体），带来高阶传感器芯片的需求和封装技术发展。</w:t>
            </w:r>
          </w:p>
          <w:p>
            <w:pPr>
              <w:widowControl/>
              <w:spacing w:line="360" w:lineRule="auto"/>
              <w:ind w:firstLine="480" w:firstLineChars="200"/>
              <w:jc w:val="both"/>
              <w:rPr>
                <w:rFonts w:hint="eastAsia"/>
                <w:sz w:val="24"/>
              </w:rPr>
            </w:pPr>
            <w:r>
              <w:rPr>
                <w:rFonts w:hint="eastAsia"/>
                <w:sz w:val="24"/>
              </w:rPr>
              <w:t>公司坚定践行技术创新战略，以前瞻性布局切入先进封装领域，基于自有的Chiplet技术推出了FH-BSAP（Forehope-Brick-Style Advanced Package）积木式先进封装技术平台。涵盖RWLP系列（晶圆级重构封装，Fan-out扇出封装）、HCOS系列（2.5D晶圆级/基板上异构封装）、Vertical系列（晶圆级垂直芯片堆栈封装）等，精准适配客户多元化先进封装技术需求。</w:t>
            </w:r>
          </w:p>
          <w:p>
            <w:pPr>
              <w:widowControl/>
              <w:spacing w:line="360" w:lineRule="auto"/>
              <w:ind w:firstLine="482" w:firstLineChars="200"/>
              <w:jc w:val="both"/>
              <w:rPr>
                <w:rFonts w:hint="eastAsia" w:eastAsia="宋体"/>
                <w:b/>
                <w:bCs/>
                <w:sz w:val="24"/>
                <w:lang w:eastAsia="zh-CN"/>
              </w:rPr>
            </w:pPr>
            <w:r>
              <w:rPr>
                <w:rFonts w:hint="eastAsia"/>
                <w:b/>
                <w:bCs/>
                <w:sz w:val="24"/>
                <w:lang w:val="en-US" w:eastAsia="zh-CN"/>
              </w:rPr>
              <w:t>6、</w:t>
            </w:r>
            <w:r>
              <w:rPr>
                <w:rFonts w:hint="eastAsia"/>
                <w:b/>
                <w:bCs/>
                <w:sz w:val="24"/>
              </w:rPr>
              <w:t>期间费用</w:t>
            </w:r>
            <w:r>
              <w:rPr>
                <w:rFonts w:hint="eastAsia"/>
                <w:b/>
                <w:bCs/>
                <w:sz w:val="24"/>
                <w:lang w:val="en-US" w:eastAsia="zh-CN"/>
              </w:rPr>
              <w:t>情况？</w:t>
            </w:r>
          </w:p>
          <w:p>
            <w:pPr>
              <w:widowControl/>
              <w:spacing w:line="360" w:lineRule="auto"/>
              <w:ind w:firstLine="480" w:firstLineChars="200"/>
              <w:jc w:val="both"/>
              <w:rPr>
                <w:sz w:val="24"/>
              </w:rPr>
            </w:pPr>
            <w:r>
              <w:rPr>
                <w:rFonts w:hint="eastAsia"/>
                <w:sz w:val="24"/>
              </w:rPr>
              <w:t>销售费用率方面，目前基本保持在1%左右，销售费用控制效果较好；管理费用率方面，2023年达到峰值9.96%，主要是由于二期工厂启动需要提前储备人力资源，当年员工数量同比增长率远大于营收增长率。随着规模效应逐渐显现，2024年及2025年管理费用率均保持下降趋势；财务费用率方面，公司成立时间较短，且处于高速发展阶段，依靠自有资金积累无法满足扩产所需的设备采购、厂房建设需求，公司主要通过银行借款进行扩产。未来随着盈利逐步改善、营收规模扩大以及融资渠道拓展，财务费用率将会呈现稳步下降状态。研发费用率方面，公司</w:t>
            </w:r>
            <w:r>
              <w:rPr>
                <w:sz w:val="24"/>
              </w:rPr>
              <w:t>专注于中高端先进封装，围绕先进封装领域，研发投入持续提升，研发费用率将会维持在6%左右的水平。</w:t>
            </w:r>
          </w:p>
          <w:p>
            <w:pPr>
              <w:widowControl/>
              <w:numPr>
                <w:ilvl w:val="0"/>
                <w:numId w:val="0"/>
              </w:numPr>
              <w:spacing w:line="360" w:lineRule="auto"/>
              <w:ind w:firstLine="482" w:firstLineChars="200"/>
              <w:jc w:val="both"/>
              <w:rPr>
                <w:rFonts w:hint="eastAsia" w:eastAsia="宋体"/>
                <w:b/>
                <w:bCs/>
                <w:sz w:val="24"/>
                <w:lang w:eastAsia="zh-CN"/>
              </w:rPr>
            </w:pPr>
            <w:r>
              <w:rPr>
                <w:rFonts w:hint="eastAsia" w:cs="Times New Roman"/>
                <w:b/>
                <w:bCs/>
                <w:kern w:val="2"/>
                <w:sz w:val="24"/>
                <w:szCs w:val="24"/>
                <w:lang w:val="en-US" w:eastAsia="zh-CN" w:bidi="ar-SA"/>
              </w:rPr>
              <w:t>7</w:t>
            </w:r>
            <w:r>
              <w:rPr>
                <w:rFonts w:hint="eastAsia" w:ascii="Times New Roman" w:hAnsi="Times New Roman" w:eastAsia="宋体" w:cs="Times New Roman"/>
                <w:b/>
                <w:bCs/>
                <w:kern w:val="2"/>
                <w:sz w:val="24"/>
                <w:szCs w:val="24"/>
                <w:lang w:val="en-US" w:eastAsia="zh-CN" w:bidi="ar-SA"/>
              </w:rPr>
              <w:t>、</w:t>
            </w:r>
            <w:r>
              <w:rPr>
                <w:rFonts w:hint="eastAsia"/>
                <w:b/>
                <w:bCs/>
                <w:sz w:val="24"/>
              </w:rPr>
              <w:t>海外客户拓展</w:t>
            </w:r>
            <w:r>
              <w:rPr>
                <w:rFonts w:hint="eastAsia"/>
                <w:b/>
                <w:bCs/>
                <w:sz w:val="24"/>
                <w:lang w:val="en-US" w:eastAsia="zh-CN"/>
              </w:rPr>
              <w:t>情况</w:t>
            </w:r>
            <w:r>
              <w:rPr>
                <w:rFonts w:hint="eastAsia"/>
                <w:b/>
                <w:bCs/>
                <w:sz w:val="24"/>
                <w:lang w:eastAsia="zh-CN"/>
              </w:rPr>
              <w:t>？</w:t>
            </w:r>
          </w:p>
          <w:p>
            <w:pPr>
              <w:widowControl/>
              <w:spacing w:line="360" w:lineRule="auto"/>
              <w:ind w:firstLine="480" w:firstLineChars="200"/>
              <w:jc w:val="both"/>
              <w:rPr>
                <w:rFonts w:hint="eastAsia"/>
                <w:sz w:val="24"/>
              </w:rPr>
            </w:pPr>
            <w:r>
              <w:rPr>
                <w:rFonts w:hint="eastAsia"/>
                <w:sz w:val="24"/>
              </w:rPr>
              <w:t>目前海外有两家中国台湾地区头部设计公司已经进入公司前五大客户，并积极拓展包含欧美地区在内的其他海外头部设计企业。整体而言，随着公司营收规模不断扩大和服务能力的持续提升，公司与现有海外客户的合作将进一步深化，并将持续在新的海外客户取得突破，公司预期未来海外客户营收占比会进一步提升。</w:t>
            </w:r>
          </w:p>
          <w:p>
            <w:pPr>
              <w:widowControl/>
              <w:numPr>
                <w:ilvl w:val="0"/>
                <w:numId w:val="0"/>
              </w:numPr>
              <w:spacing w:line="360" w:lineRule="auto"/>
              <w:ind w:firstLine="482" w:firstLineChars="200"/>
              <w:jc w:val="both"/>
              <w:rPr>
                <w:rFonts w:hint="eastAsia"/>
                <w:b/>
                <w:bCs/>
                <w:sz w:val="24"/>
                <w:lang w:val="en-US" w:eastAsia="zh-CN"/>
              </w:rPr>
            </w:pPr>
            <w:r>
              <w:rPr>
                <w:rFonts w:hint="eastAsia"/>
                <w:b/>
                <w:bCs/>
                <w:sz w:val="24"/>
                <w:lang w:val="en-US" w:eastAsia="zh-CN"/>
              </w:rPr>
              <w:t>8、海外工厂进展情况？</w:t>
            </w:r>
          </w:p>
          <w:p>
            <w:pPr>
              <w:widowControl/>
              <w:numPr>
                <w:ilvl w:val="0"/>
                <w:numId w:val="0"/>
              </w:numPr>
              <w:spacing w:line="360" w:lineRule="auto"/>
              <w:ind w:firstLine="480" w:firstLineChars="200"/>
              <w:jc w:val="both"/>
              <w:rPr>
                <w:rFonts w:hint="default" w:cs="Times New Roman"/>
                <w:sz w:val="24"/>
                <w:lang w:val="en-US" w:eastAsia="zh-CN"/>
              </w:rPr>
            </w:pPr>
            <w:r>
              <w:rPr>
                <w:rFonts w:hint="eastAsia" w:cs="Times New Roman"/>
                <w:sz w:val="24"/>
                <w:lang w:val="en-US" w:eastAsia="zh-CN"/>
              </w:rPr>
              <w:t>新加坡子公司和马来西亚子公司已成立完成，目前海外工厂建设工作正在稳步推进中。</w:t>
            </w:r>
          </w:p>
          <w:p>
            <w:pPr>
              <w:widowControl/>
              <w:numPr>
                <w:ilvl w:val="0"/>
                <w:numId w:val="0"/>
              </w:numPr>
              <w:spacing w:line="360" w:lineRule="auto"/>
              <w:ind w:firstLine="482" w:firstLineChars="200"/>
              <w:jc w:val="both"/>
              <w:rPr>
                <w:rFonts w:hint="eastAsia"/>
                <w:b/>
                <w:bCs/>
                <w:sz w:val="24"/>
              </w:rPr>
            </w:pPr>
            <w:r>
              <w:rPr>
                <w:rFonts w:hint="eastAsia" w:cs="Times New Roman"/>
                <w:b/>
                <w:bCs/>
                <w:kern w:val="2"/>
                <w:sz w:val="24"/>
                <w:szCs w:val="24"/>
                <w:lang w:val="en-US" w:eastAsia="zh-CN" w:bidi="ar-SA"/>
              </w:rPr>
              <w:t>9</w:t>
            </w:r>
            <w:r>
              <w:rPr>
                <w:rFonts w:hint="eastAsia" w:ascii="Times New Roman" w:hAnsi="Times New Roman" w:eastAsia="宋体" w:cs="Times New Roman"/>
                <w:b/>
                <w:bCs/>
                <w:kern w:val="2"/>
                <w:sz w:val="24"/>
                <w:szCs w:val="24"/>
                <w:lang w:val="en-US" w:eastAsia="zh-CN" w:bidi="ar-SA"/>
              </w:rPr>
              <w:t>、</w:t>
            </w:r>
            <w:r>
              <w:rPr>
                <w:rFonts w:hint="eastAsia"/>
                <w:b/>
                <w:bCs/>
                <w:sz w:val="24"/>
                <w:lang w:val="en-US" w:eastAsia="zh-CN"/>
              </w:rPr>
              <w:t>公司对于</w:t>
            </w:r>
            <w:r>
              <w:rPr>
                <w:rFonts w:hint="eastAsia"/>
                <w:b/>
                <w:bCs/>
                <w:sz w:val="24"/>
              </w:rPr>
              <w:t>未来</w:t>
            </w:r>
            <w:r>
              <w:rPr>
                <w:rFonts w:hint="eastAsia"/>
                <w:b/>
                <w:bCs/>
                <w:sz w:val="24"/>
                <w:lang w:val="en-US" w:eastAsia="zh-CN"/>
              </w:rPr>
              <w:t>经营发展的</w:t>
            </w:r>
            <w:r>
              <w:rPr>
                <w:rFonts w:hint="eastAsia"/>
                <w:b/>
                <w:bCs/>
                <w:sz w:val="24"/>
              </w:rPr>
              <w:t>展望</w:t>
            </w:r>
            <w:r>
              <w:rPr>
                <w:rFonts w:hint="eastAsia"/>
                <w:b/>
                <w:bCs/>
                <w:sz w:val="24"/>
                <w:lang w:eastAsia="zh-CN"/>
              </w:rPr>
              <w:t>？</w:t>
            </w:r>
          </w:p>
          <w:p>
            <w:pPr>
              <w:widowControl/>
              <w:numPr>
                <w:ilvl w:val="0"/>
                <w:numId w:val="0"/>
              </w:numPr>
              <w:spacing w:line="360" w:lineRule="auto"/>
              <w:ind w:firstLine="480" w:firstLineChars="200"/>
              <w:jc w:val="both"/>
              <w:rPr>
                <w:rFonts w:hint="eastAsia"/>
                <w:sz w:val="24"/>
              </w:rPr>
            </w:pPr>
            <w:r>
              <w:rPr>
                <w:rFonts w:hint="eastAsia"/>
                <w:sz w:val="24"/>
              </w:rPr>
              <w:t>经营业绩方面，从2018年首年营收0.39亿到2024年实现营业收入36亿元，公司用七年时间实现营业收入近百倍增长。未来随着二期项目完全落成达产，大规模投资进入尾声，折旧拐点出现，同时伴随规模效应的持续体现，远期业绩较为可观；客户结构方面，公司成立之初从数字货币芯片切入市场，到进入主流PA设计公司供应链，再到深化AIoT大客户合作以及实现海外头部设计客户突破，目前已经形成了以各细分领域的龙头设计公司以及台系头部设计公司为主的稳定客户群，未来大客户以及海外营收占比会持续提升，客户集中度将进一步提高；先进封装方面，公司从成立之初即聚焦先进封装领域，全部产品均为QFN、LGA、BGA、FlipChip、Bumping、WLCSP等中高端先进封装形式,努力将公司打造成为“Bumping+CP+FC+FT”的一站式封测基地。2024年底公司2.5D封装产线通线，未来随着生成式AI、高算力芯片需求提升以及端侧AI应用场景不断拓展，公司先进封装产品占比将不断提高。</w:t>
            </w:r>
          </w:p>
          <w:p>
            <w:pPr>
              <w:widowControl/>
              <w:numPr>
                <w:ilvl w:val="0"/>
                <w:numId w:val="0"/>
              </w:numPr>
              <w:spacing w:line="360" w:lineRule="auto"/>
              <w:ind w:firstLine="482" w:firstLineChars="200"/>
              <w:jc w:val="both"/>
              <w:rPr>
                <w:rFonts w:hint="eastAsia"/>
                <w:b/>
                <w:bCs/>
                <w:sz w:val="24"/>
                <w:lang w:val="en-US" w:eastAsia="zh-CN"/>
              </w:rPr>
            </w:pPr>
            <w:r>
              <w:rPr>
                <w:rFonts w:hint="eastAsia" w:cs="Times New Roman"/>
                <w:b/>
                <w:bCs/>
                <w:kern w:val="2"/>
                <w:sz w:val="24"/>
                <w:szCs w:val="24"/>
                <w:lang w:val="en-US" w:eastAsia="zh-CN" w:bidi="ar-SA"/>
              </w:rPr>
              <w:t>10</w:t>
            </w:r>
            <w:r>
              <w:rPr>
                <w:rFonts w:hint="eastAsia" w:ascii="Times New Roman" w:hAnsi="Times New Roman" w:eastAsia="宋体" w:cs="Times New Roman"/>
                <w:b/>
                <w:bCs/>
                <w:kern w:val="2"/>
                <w:sz w:val="24"/>
                <w:szCs w:val="24"/>
                <w:lang w:val="en-US" w:eastAsia="zh-CN" w:bidi="ar-SA"/>
              </w:rPr>
              <w:t>、</w:t>
            </w:r>
            <w:r>
              <w:rPr>
                <w:rFonts w:hint="eastAsia"/>
                <w:b/>
                <w:bCs/>
                <w:sz w:val="24"/>
                <w:lang w:val="en-US" w:eastAsia="zh-CN"/>
              </w:rPr>
              <w:t>公司在先进封装领域的技术储备及良率情况？</w:t>
            </w:r>
          </w:p>
          <w:p>
            <w:pPr>
              <w:widowControl/>
              <w:numPr>
                <w:ilvl w:val="0"/>
                <w:numId w:val="0"/>
              </w:numPr>
              <w:spacing w:line="360" w:lineRule="auto"/>
              <w:jc w:val="both"/>
              <w:rPr>
                <w:rFonts w:hint="eastAsia"/>
                <w:sz w:val="24"/>
                <w:lang w:val="en-US" w:eastAsia="zh-CN"/>
              </w:rPr>
            </w:pPr>
            <w:r>
              <w:rPr>
                <w:rFonts w:hint="eastAsia"/>
                <w:sz w:val="24"/>
                <w:lang w:val="en-US" w:eastAsia="zh-CN"/>
              </w:rPr>
              <w:t xml:space="preserve">   技术储备方面，公司今年截至目前新增专利160余项，其中先进封装技术相关专利超过100项；良率方面，公司目前与客户送样产品良率表现较好。</w:t>
            </w:r>
          </w:p>
          <w:p>
            <w:pPr>
              <w:widowControl/>
              <w:numPr>
                <w:ilvl w:val="0"/>
                <w:numId w:val="0"/>
              </w:numPr>
              <w:spacing w:line="360" w:lineRule="auto"/>
              <w:ind w:firstLine="482" w:firstLineChars="200"/>
              <w:jc w:val="both"/>
              <w:rPr>
                <w:rFonts w:hint="eastAsia"/>
                <w:b/>
                <w:bCs/>
                <w:sz w:val="24"/>
                <w:lang w:val="en-US" w:eastAsia="zh-CN"/>
              </w:rPr>
            </w:pPr>
            <w:r>
              <w:rPr>
                <w:rFonts w:hint="eastAsia" w:ascii="Times New Roman" w:hAnsi="Times New Roman" w:eastAsia="宋体" w:cs="Times New Roman"/>
                <w:b/>
                <w:bCs/>
                <w:kern w:val="2"/>
                <w:sz w:val="24"/>
                <w:szCs w:val="24"/>
                <w:lang w:val="en-US" w:eastAsia="zh-CN" w:bidi="ar-SA"/>
              </w:rPr>
              <w:t>1</w:t>
            </w:r>
            <w:r>
              <w:rPr>
                <w:rFonts w:hint="eastAsia" w:cs="Times New Roman"/>
                <w:b/>
                <w:bCs/>
                <w:kern w:val="2"/>
                <w:sz w:val="24"/>
                <w:szCs w:val="24"/>
                <w:lang w:val="en-US" w:eastAsia="zh-CN" w:bidi="ar-SA"/>
              </w:rPr>
              <w:t>1</w:t>
            </w:r>
            <w:r>
              <w:rPr>
                <w:rFonts w:hint="eastAsia" w:ascii="Times New Roman" w:hAnsi="Times New Roman" w:eastAsia="宋体" w:cs="Times New Roman"/>
                <w:b/>
                <w:bCs/>
                <w:kern w:val="2"/>
                <w:sz w:val="24"/>
                <w:szCs w:val="24"/>
                <w:lang w:val="en-US" w:eastAsia="zh-CN" w:bidi="ar-SA"/>
              </w:rPr>
              <w:t>、</w:t>
            </w:r>
            <w:r>
              <w:rPr>
                <w:rFonts w:hint="eastAsia" w:cs="Times New Roman"/>
                <w:b/>
                <w:bCs/>
                <w:kern w:val="2"/>
                <w:sz w:val="24"/>
                <w:szCs w:val="24"/>
                <w:lang w:val="en-US" w:eastAsia="zh-CN" w:bidi="ar-SA"/>
              </w:rPr>
              <w:t>公司2025Q4以及2026Q1业绩展望</w:t>
            </w:r>
            <w:r>
              <w:rPr>
                <w:rFonts w:hint="eastAsia"/>
                <w:b/>
                <w:bCs/>
                <w:sz w:val="24"/>
                <w:lang w:val="en-US" w:eastAsia="zh-CN"/>
              </w:rPr>
              <w:t>？</w:t>
            </w:r>
          </w:p>
          <w:p>
            <w:pPr>
              <w:widowControl/>
              <w:numPr>
                <w:ilvl w:val="0"/>
                <w:numId w:val="0"/>
              </w:numPr>
              <w:spacing w:line="360" w:lineRule="auto"/>
              <w:jc w:val="both"/>
              <w:rPr>
                <w:rFonts w:hint="default"/>
                <w:sz w:val="24"/>
                <w:lang w:val="en-US" w:eastAsia="zh-CN"/>
              </w:rPr>
            </w:pPr>
            <w:r>
              <w:rPr>
                <w:rFonts w:hint="eastAsia"/>
                <w:b/>
                <w:bCs/>
                <w:sz w:val="24"/>
                <w:lang w:val="en-US" w:eastAsia="zh-CN"/>
              </w:rPr>
              <w:t xml:space="preserve">   </w:t>
            </w:r>
            <w:r>
              <w:rPr>
                <w:rFonts w:hint="eastAsia"/>
                <w:b w:val="0"/>
                <w:bCs w:val="0"/>
                <w:sz w:val="24"/>
                <w:lang w:val="en-US" w:eastAsia="zh-CN"/>
              </w:rPr>
              <w:t xml:space="preserve"> 今年四季度的营业收入预计将会保持增长趋势；明年一季度客户需求Forecast是比较旺盛的。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bCs/>
                <w:iCs/>
                <w:color w:val="000000"/>
                <w:sz w:val="24"/>
              </w:rPr>
              <w:t>附件清单（如有）</w:t>
            </w:r>
          </w:p>
        </w:tc>
        <w:tc>
          <w:tcPr>
            <w:tcW w:w="6048"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bCs/>
                <w:iCs/>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bCs/>
                <w:iCs/>
                <w:color w:val="000000"/>
                <w:sz w:val="24"/>
              </w:rPr>
              <w:t>日期</w:t>
            </w:r>
          </w:p>
        </w:tc>
        <w:tc>
          <w:tcPr>
            <w:tcW w:w="6048"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bCs/>
                <w:iCs/>
                <w:color w:val="000000"/>
                <w:sz w:val="24"/>
              </w:rPr>
              <w:t>2025年</w:t>
            </w:r>
            <w:r>
              <w:rPr>
                <w:rFonts w:hint="eastAsia"/>
                <w:bCs/>
                <w:iCs/>
                <w:color w:val="000000"/>
                <w:sz w:val="24"/>
              </w:rPr>
              <w:t>12</w:t>
            </w:r>
            <w:r>
              <w:rPr>
                <w:bCs/>
                <w:iCs/>
                <w:color w:val="000000"/>
                <w:sz w:val="24"/>
              </w:rPr>
              <w:t>月</w:t>
            </w:r>
            <w:r>
              <w:rPr>
                <w:rFonts w:hint="eastAsia"/>
                <w:bCs/>
                <w:iCs/>
                <w:color w:val="000000"/>
                <w:sz w:val="24"/>
              </w:rPr>
              <w:t>22</w:t>
            </w:r>
            <w:r>
              <w:rPr>
                <w:bCs/>
                <w:iCs/>
                <w:color w:val="000000"/>
                <w:sz w:val="24"/>
              </w:rPr>
              <w:t>日</w:t>
            </w:r>
          </w:p>
        </w:tc>
      </w:tr>
    </w:tbl>
    <w:p>
      <w:pPr>
        <w:widowControl/>
        <w:spacing w:line="360" w:lineRule="auto"/>
        <w:ind w:firstLine="480" w:firstLineChars="200"/>
        <w:jc w:val="left"/>
        <w:rPr>
          <w:sz w:val="24"/>
        </w:rPr>
      </w:pPr>
      <w:r>
        <w:rPr>
          <w:sz w:val="24"/>
        </w:rPr>
        <w:t>注</w:t>
      </w:r>
      <w:r>
        <w:rPr>
          <w:rFonts w:hint="eastAsia"/>
          <w:sz w:val="24"/>
        </w:rPr>
        <w:t>：</w:t>
      </w:r>
      <w:r>
        <w:rPr>
          <w:sz w:val="24"/>
        </w:rPr>
        <w:t>公司严格遵守信息披露相关规则与投资者进行交流</w:t>
      </w:r>
      <w:r>
        <w:rPr>
          <w:rFonts w:hint="eastAsia"/>
          <w:sz w:val="24"/>
        </w:rPr>
        <w:t>，</w:t>
      </w:r>
      <w:r>
        <w:rPr>
          <w:sz w:val="24"/>
        </w:rPr>
        <w:t>如涉及公司战略规划等意向性目标</w:t>
      </w:r>
      <w:r>
        <w:rPr>
          <w:rFonts w:hint="eastAsia"/>
          <w:sz w:val="24"/>
        </w:rPr>
        <w:t>，</w:t>
      </w:r>
      <w:r>
        <w:rPr>
          <w:sz w:val="24"/>
        </w:rPr>
        <w:t>不能视为公司或管理层对公司业绩的保证或承诺</w:t>
      </w:r>
      <w:r>
        <w:rPr>
          <w:rFonts w:hint="eastAsia"/>
          <w:sz w:val="24"/>
        </w:rPr>
        <w:t>，</w:t>
      </w:r>
      <w:r>
        <w:rPr>
          <w:sz w:val="24"/>
        </w:rPr>
        <w:t>敬请广大投资者注意投资风险。</w:t>
      </w: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MTIyMGY2MDRhNzYwY2ViNWVhMGY4NmU3Zjc0Y2EifQ=="/>
  </w:docVars>
  <w:rsids>
    <w:rsidRoot w:val="002D7F96"/>
    <w:rsid w:val="0016129D"/>
    <w:rsid w:val="002D7F96"/>
    <w:rsid w:val="006C0F13"/>
    <w:rsid w:val="00CD47C2"/>
    <w:rsid w:val="00D83643"/>
    <w:rsid w:val="00D9012D"/>
    <w:rsid w:val="00F2328E"/>
    <w:rsid w:val="00FE1348"/>
    <w:rsid w:val="023B4716"/>
    <w:rsid w:val="0885461E"/>
    <w:rsid w:val="0CB11F5E"/>
    <w:rsid w:val="101850E1"/>
    <w:rsid w:val="126B4221"/>
    <w:rsid w:val="14E904B0"/>
    <w:rsid w:val="156A53A0"/>
    <w:rsid w:val="16E41182"/>
    <w:rsid w:val="1D3B06F4"/>
    <w:rsid w:val="23F95D47"/>
    <w:rsid w:val="245C61AD"/>
    <w:rsid w:val="27514612"/>
    <w:rsid w:val="28414686"/>
    <w:rsid w:val="286E6AFD"/>
    <w:rsid w:val="2A9867EC"/>
    <w:rsid w:val="2E975000"/>
    <w:rsid w:val="31305298"/>
    <w:rsid w:val="32902492"/>
    <w:rsid w:val="36F4212A"/>
    <w:rsid w:val="37875627"/>
    <w:rsid w:val="38877E93"/>
    <w:rsid w:val="399C796E"/>
    <w:rsid w:val="3EEE7FBE"/>
    <w:rsid w:val="431F6F1A"/>
    <w:rsid w:val="448406DC"/>
    <w:rsid w:val="499441BE"/>
    <w:rsid w:val="4BC14069"/>
    <w:rsid w:val="4D9A031C"/>
    <w:rsid w:val="4FFD419A"/>
    <w:rsid w:val="50E139C9"/>
    <w:rsid w:val="524E5126"/>
    <w:rsid w:val="553A61C5"/>
    <w:rsid w:val="56CC5D09"/>
    <w:rsid w:val="5727016D"/>
    <w:rsid w:val="578F06BB"/>
    <w:rsid w:val="59F606D4"/>
    <w:rsid w:val="5F677B8F"/>
    <w:rsid w:val="63B329C4"/>
    <w:rsid w:val="66B81CDD"/>
    <w:rsid w:val="6F4D0247"/>
    <w:rsid w:val="6FA66085"/>
    <w:rsid w:val="732E5CC1"/>
    <w:rsid w:val="762D4575"/>
    <w:rsid w:val="78AC0E9F"/>
    <w:rsid w:val="79102D89"/>
    <w:rsid w:val="7D19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黑体" w:hAnsi="Calibri" w:eastAsia="黑体" w:cs="Arial"/>
      <w:kern w:val="2"/>
      <w:sz w:val="32"/>
      <w:szCs w:val="32"/>
      <w:lang w:val="en-US" w:eastAsia="zh-CN" w:bidi="ar-SA"/>
    </w:rPr>
  </w:style>
  <w:style w:type="paragraph" w:styleId="3">
    <w:name w:val="annotation text"/>
    <w:basedOn w:val="1"/>
    <w:link w:val="15"/>
    <w:qFormat/>
    <w:uiPriority w:val="99"/>
    <w:pPr>
      <w:jc w:val="left"/>
    </w:pPr>
  </w:style>
  <w:style w:type="paragraph" w:styleId="4">
    <w:name w:val="Balloon Text"/>
    <w:basedOn w:val="1"/>
    <w:link w:val="17"/>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等线" w:hAnsi="等线" w:eastAsia="等线" w:cs="宋体"/>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等线" w:hAnsi="等线" w:eastAsia="等线" w:cs="宋体"/>
      <w:sz w:val="18"/>
      <w:szCs w:val="18"/>
    </w:rPr>
  </w:style>
  <w:style w:type="paragraph" w:styleId="7">
    <w:name w:val="annotation subject"/>
    <w:basedOn w:val="3"/>
    <w:next w:val="3"/>
    <w:link w:val="16"/>
    <w:qFormat/>
    <w:uiPriority w:val="99"/>
    <w:rPr>
      <w:b/>
      <w:bCs/>
    </w:rPr>
  </w:style>
  <w:style w:type="character" w:styleId="10">
    <w:name w:val="Emphasis"/>
    <w:basedOn w:val="9"/>
    <w:qFormat/>
    <w:uiPriority w:val="20"/>
    <w:rPr>
      <w:i/>
    </w:rPr>
  </w:style>
  <w:style w:type="character" w:styleId="11">
    <w:name w:val="annotation reference"/>
    <w:basedOn w:val="9"/>
    <w:qFormat/>
    <w:uiPriority w:val="99"/>
    <w:rPr>
      <w:sz w:val="21"/>
      <w:szCs w:val="21"/>
    </w:rPr>
  </w:style>
  <w:style w:type="paragraph" w:customStyle="1" w:styleId="12">
    <w:name w:val="Normal Indent1"/>
    <w:next w:val="2"/>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文字 字符"/>
    <w:basedOn w:val="9"/>
    <w:link w:val="3"/>
    <w:qFormat/>
    <w:uiPriority w:val="99"/>
    <w:rPr>
      <w:rFonts w:ascii="Times New Roman" w:hAnsi="Times New Roman" w:eastAsia="宋体" w:cs="Times New Roman"/>
      <w:szCs w:val="24"/>
    </w:rPr>
  </w:style>
  <w:style w:type="character" w:customStyle="1" w:styleId="16">
    <w:name w:val="批注主题 字符"/>
    <w:basedOn w:val="15"/>
    <w:link w:val="7"/>
    <w:qFormat/>
    <w:uiPriority w:val="99"/>
    <w:rPr>
      <w:rFonts w:ascii="Times New Roman" w:hAnsi="Times New Roman" w:eastAsia="宋体" w:cs="Times New Roman"/>
      <w:b/>
      <w:bCs/>
      <w:szCs w:val="24"/>
    </w:rPr>
  </w:style>
  <w:style w:type="character" w:customStyle="1" w:styleId="17">
    <w:name w:val="批注框文本 字符"/>
    <w:basedOn w:val="9"/>
    <w:link w:val="4"/>
    <w:qFormat/>
    <w:uiPriority w:val="99"/>
    <w:rPr>
      <w:rFonts w:ascii="Times New Roman" w:hAnsi="Times New Roman" w:eastAsia="宋体" w:cs="Times New Roman"/>
      <w:sz w:val="18"/>
      <w:szCs w:val="18"/>
    </w:rPr>
  </w:style>
  <w:style w:type="paragraph" w:customStyle="1" w:styleId="18">
    <w:name w:val="修订1"/>
    <w:qFormat/>
    <w:uiPriority w:val="99"/>
    <w:rPr>
      <w:rFonts w:ascii="Times New Roman" w:hAnsi="Times New Roman" w:eastAsia="宋体" w:cs="Times New Roman"/>
      <w:kern w:val="2"/>
      <w:sz w:val="21"/>
      <w:szCs w:val="24"/>
      <w:lang w:val="en-US" w:eastAsia="zh-CN" w:bidi="ar-SA"/>
    </w:rPr>
  </w:style>
  <w:style w:type="paragraph" w:styleId="19">
    <w:name w:val="List Paragraph"/>
    <w:basedOn w:val="1"/>
    <w:qFormat/>
    <w:uiPriority w:val="0"/>
    <w:pPr>
      <w:ind w:firstLine="420" w:firstLineChars="200"/>
    </w:pPr>
  </w:style>
  <w:style w:type="paragraph" w:customStyle="1" w:styleId="20">
    <w:name w:val="修订2"/>
    <w:qFormat/>
    <w:uiPriority w:val="99"/>
    <w:rPr>
      <w:rFonts w:ascii="Times New Roman" w:hAnsi="Times New Roman" w:eastAsia="宋体" w:cs="Times New Roman"/>
      <w:kern w:val="2"/>
      <w:sz w:val="21"/>
      <w:szCs w:val="24"/>
      <w:lang w:val="en-US" w:eastAsia="zh-CN" w:bidi="ar-SA"/>
    </w:rPr>
  </w:style>
  <w:style w:type="paragraph" w:customStyle="1" w:styleId="21">
    <w:name w:val="修订3"/>
    <w:qFormat/>
    <w:uiPriority w:val="99"/>
    <w:rPr>
      <w:rFonts w:ascii="Times New Roman" w:hAnsi="Times New Roman" w:eastAsia="宋体" w:cs="Times New Roman"/>
      <w:kern w:val="2"/>
      <w:sz w:val="21"/>
      <w:szCs w:val="24"/>
      <w:lang w:val="en-US" w:eastAsia="zh-CN" w:bidi="ar-SA"/>
    </w:rPr>
  </w:style>
  <w:style w:type="paragraph" w:customStyle="1" w:styleId="22">
    <w:name w:val="修订4"/>
    <w:qFormat/>
    <w:uiPriority w:val="99"/>
    <w:rPr>
      <w:rFonts w:ascii="Times New Roman" w:hAnsi="Times New Roman" w:eastAsia="宋体" w:cs="Times New Roman"/>
      <w:kern w:val="2"/>
      <w:sz w:val="21"/>
      <w:szCs w:val="24"/>
      <w:lang w:val="en-US" w:eastAsia="zh-CN" w:bidi="ar-SA"/>
    </w:rPr>
  </w:style>
  <w:style w:type="paragraph" w:customStyle="1" w:styleId="23">
    <w:name w:val="修订5"/>
    <w:qFormat/>
    <w:uiPriority w:val="99"/>
    <w:rPr>
      <w:rFonts w:ascii="Times New Roman" w:hAnsi="Times New Roman" w:eastAsia="宋体" w:cs="Times New Roman"/>
      <w:kern w:val="2"/>
      <w:sz w:val="21"/>
      <w:szCs w:val="24"/>
      <w:lang w:val="en-US" w:eastAsia="zh-CN" w:bidi="ar-SA"/>
    </w:rPr>
  </w:style>
  <w:style w:type="paragraph" w:customStyle="1" w:styleId="2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2647</Words>
  <Characters>2971</Characters>
  <Lines>21</Lines>
  <Paragraphs>6</Paragraphs>
  <TotalTime>14</TotalTime>
  <ScaleCrop>false</ScaleCrop>
  <LinksUpToDate>false</LinksUpToDate>
  <CharactersWithSpaces>3047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2025-12-24T01:53:00Z</dcterms:created>
  <dc:creator>周钡钡</dc:creator>
  <cp:lastModifiedBy>zhengquanbu</cp:lastModifiedBy>
  <dcterms:modified xsi:type="dcterms:W3CDTF">2025-12-24T07:04:16Z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8AF88E5AD95A418C9DE23BC7A49A408C_13</vt:lpwstr>
  </property>
  <property fmtid="{D5CDD505-2E9C-101B-9397-08002B2CF9AE}" pid="4" name="KSOTemplateDocerSaveRecord">
    <vt:lpwstr>eyJoZGlkIjoiMDZmN2VlOWFiNmJkMWVlMjkzNDU0NzNlMDRlYWVjNjIiLCJ1c2VySWQiOiIxMzg4MzUyNjAyIn0=</vt:lpwstr>
  </property>
</Properties>
</file>