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12D11">
      <w:pPr>
        <w:spacing w:before="156" w:beforeLines="50" w:after="156" w:afterLines="50" w:line="400" w:lineRule="exact"/>
        <w:rPr>
          <w:rFonts w:ascii="Times New Roman" w:hAnsi="Times New Roman"/>
          <w:color w:val="000000"/>
        </w:rPr>
      </w:pPr>
      <w:r>
        <w:rPr>
          <w:rFonts w:ascii="Times New Roman" w:hAnsi="Times New Roman"/>
          <w:color w:val="000000"/>
        </w:rPr>
        <w:t>证券代码：</w:t>
      </w:r>
      <w:r>
        <w:rPr>
          <w:rFonts w:ascii="Times New Roman" w:hAnsi="Times New Roman" w:eastAsia="微软雅黑"/>
          <w:color w:val="000000"/>
        </w:rPr>
        <w:t>688343</w:t>
      </w:r>
      <w:r>
        <w:rPr>
          <w:rFonts w:ascii="Times New Roman" w:hAnsi="Times New Roman"/>
          <w:color w:val="000000"/>
        </w:rPr>
        <w:t xml:space="preserve">                                   证券简称：云天励飞</w:t>
      </w:r>
    </w:p>
    <w:p w14:paraId="01B01F6E">
      <w:pPr>
        <w:spacing w:before="156" w:beforeLines="50" w:after="156" w:afterLines="50" w:line="400" w:lineRule="exact"/>
        <w:ind w:firstLine="643"/>
        <w:jc w:val="center"/>
        <w:rPr>
          <w:b/>
          <w:bCs w:val="0"/>
          <w:iCs w:val="0"/>
          <w:color w:val="000000"/>
          <w:sz w:val="32"/>
          <w:szCs w:val="32"/>
        </w:rPr>
      </w:pPr>
      <w:r>
        <w:rPr>
          <w:rFonts w:hint="eastAsia"/>
          <w:b/>
          <w:color w:val="000000"/>
          <w:sz w:val="32"/>
          <w:szCs w:val="32"/>
        </w:rPr>
        <w:t>深圳云天励飞技术股份有限公司</w:t>
      </w:r>
    </w:p>
    <w:p w14:paraId="5CB25F54">
      <w:pPr>
        <w:spacing w:before="156" w:beforeLines="50" w:after="156" w:afterLines="50" w:line="400" w:lineRule="exact"/>
        <w:ind w:firstLine="643"/>
        <w:jc w:val="center"/>
        <w:rPr>
          <w:b/>
          <w:bCs w:val="0"/>
          <w:iCs w:val="0"/>
          <w:color w:val="000000"/>
          <w:sz w:val="32"/>
          <w:szCs w:val="32"/>
        </w:rPr>
      </w:pPr>
      <w:r>
        <w:rPr>
          <w:rFonts w:hint="eastAsia"/>
          <w:b/>
          <w:color w:val="000000"/>
          <w:sz w:val="32"/>
          <w:szCs w:val="32"/>
        </w:rPr>
        <w:t>投资者关系活动记录表</w:t>
      </w:r>
    </w:p>
    <w:p w14:paraId="62E582DA">
      <w:pPr>
        <w:ind w:firstLine="482"/>
        <w:jc w:val="center"/>
        <w:rPr>
          <w:rFonts w:ascii="Times New Roman" w:hAnsi="Times New Roman"/>
          <w:b/>
          <w:bCs w:val="0"/>
          <w:sz w:val="30"/>
          <w:szCs w:val="30"/>
        </w:rPr>
      </w:pPr>
      <w:r>
        <w:rPr>
          <w:rFonts w:ascii="Times New Roman" w:hAnsi="Times New Roman"/>
          <w:b/>
          <w:bCs w:val="0"/>
          <w:sz w:val="30"/>
          <w:szCs w:val="30"/>
        </w:rPr>
        <w:t>（2025年12月25日）</w:t>
      </w:r>
    </w:p>
    <w:p w14:paraId="2EE3C942">
      <w:pPr>
        <w:rPr>
          <w:rFonts w:ascii="Times New Roman" w:hAnsi="Times New Roman"/>
        </w:rPr>
      </w:pPr>
      <w:r>
        <w:t xml:space="preserve">                                                      </w:t>
      </w:r>
      <w:r>
        <w:rPr>
          <w:rFonts w:ascii="Times New Roman" w:hAnsi="Times New Roman"/>
        </w:rPr>
        <w:t>编号：2025-022</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2"/>
        <w:gridCol w:w="6434"/>
      </w:tblGrid>
      <w:tr w14:paraId="4F8E4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2E1244DD">
            <w:r>
              <w:rPr>
                <w:rFonts w:hint="eastAsia"/>
              </w:rPr>
              <w:t>投资者关系活动类别</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4B4C4791">
            <w:r>
              <w:rPr>
                <w:rFonts w:ascii="Segoe UI Symbol" w:hAnsi="Segoe UI Symbol" w:cs="Segoe UI Symbol"/>
              </w:rPr>
              <w:t>☑</w:t>
            </w:r>
            <w:r>
              <w:t>特定对象调研   □分析师会议</w:t>
            </w:r>
          </w:p>
          <w:p w14:paraId="00BDBC9A">
            <w:r>
              <w:t xml:space="preserve">□媒体采访       </w:t>
            </w:r>
            <w:r>
              <w:rPr>
                <w:rFonts w:hint="eastAsia"/>
              </w:rPr>
              <w:t>□</w:t>
            </w:r>
            <w:r>
              <w:t>业绩说明会</w:t>
            </w:r>
          </w:p>
          <w:p w14:paraId="56364671">
            <w:r>
              <w:t>□新闻发布会     □路演活动</w:t>
            </w:r>
          </w:p>
          <w:p w14:paraId="1614AF15">
            <w:r>
              <w:t>□现场参观       □其他</w:t>
            </w:r>
          </w:p>
        </w:tc>
      </w:tr>
      <w:tr w14:paraId="70D2F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50AE1B6D">
            <w:r>
              <w:rPr>
                <w:rFonts w:hint="eastAsia"/>
              </w:rPr>
              <w:t>参与单位名称及人员姓名</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687E42BE">
            <w:pPr>
              <w:rPr>
                <w:color w:val="000000"/>
              </w:rPr>
            </w:pPr>
            <w:r>
              <w:rPr>
                <w:rFonts w:hint="eastAsia"/>
              </w:rPr>
              <w:t>佑诗基金、上海务聚投资、翼品资产、观火投研、西部证券</w:t>
            </w:r>
            <w:r>
              <w:rPr>
                <w:rFonts w:ascii="Times New Roman" w:hAnsi="Times New Roman"/>
              </w:rPr>
              <w:t>5</w:t>
            </w:r>
            <w:r>
              <w:rPr>
                <w:rFonts w:hint="eastAsia"/>
              </w:rPr>
              <w:t>家机构代表，共计</w:t>
            </w:r>
            <w:r>
              <w:rPr>
                <w:rFonts w:hint="default" w:ascii="Times New Roman" w:hAnsi="Times New Roman"/>
              </w:rPr>
              <w:t>6</w:t>
            </w:r>
            <w:r>
              <w:rPr>
                <w:rFonts w:hint="eastAsia"/>
              </w:rPr>
              <w:t>人。</w:t>
            </w:r>
          </w:p>
        </w:tc>
      </w:tr>
      <w:tr w14:paraId="69684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6F1DF3EC">
            <w:r>
              <w:rPr>
                <w:rFonts w:hint="eastAsia"/>
              </w:rPr>
              <w:t>时间</w:t>
            </w:r>
          </w:p>
        </w:tc>
        <w:tc>
          <w:tcPr>
            <w:tcW w:w="6434" w:type="dxa"/>
            <w:tcBorders>
              <w:top w:val="single" w:color="auto" w:sz="4" w:space="0"/>
              <w:left w:val="single" w:color="auto" w:sz="4" w:space="0"/>
              <w:bottom w:val="single" w:color="auto" w:sz="4" w:space="0"/>
              <w:right w:val="single" w:color="auto" w:sz="4" w:space="0"/>
            </w:tcBorders>
            <w:shd w:val="clear" w:color="auto" w:fill="auto"/>
            <w:vAlign w:val="center"/>
          </w:tcPr>
          <w:p w14:paraId="4F11DED9">
            <w:r>
              <w:rPr>
                <w:rFonts w:ascii="Times New Roman" w:hAnsi="Times New Roman"/>
              </w:rPr>
              <w:t>2025年</w:t>
            </w:r>
            <w:r>
              <w:rPr>
                <w:rFonts w:hint="default" w:ascii="Times New Roman" w:hAnsi="Times New Roman"/>
              </w:rPr>
              <w:t>1</w:t>
            </w:r>
            <w:r>
              <w:rPr>
                <w:rFonts w:ascii="Times New Roman" w:hAnsi="Times New Roman"/>
              </w:rPr>
              <w:t>2月25日</w:t>
            </w:r>
          </w:p>
        </w:tc>
      </w:tr>
      <w:tr w14:paraId="753A6B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2A3DA954">
            <w:r>
              <w:rPr>
                <w:rFonts w:hint="eastAsia"/>
              </w:rPr>
              <w:t>地点</w:t>
            </w:r>
          </w:p>
        </w:tc>
        <w:tc>
          <w:tcPr>
            <w:tcW w:w="6434" w:type="dxa"/>
            <w:tcBorders>
              <w:top w:val="single" w:color="auto" w:sz="4" w:space="0"/>
              <w:left w:val="single" w:color="auto" w:sz="4" w:space="0"/>
              <w:bottom w:val="single" w:color="auto" w:sz="4" w:space="0"/>
              <w:right w:val="single" w:color="auto" w:sz="4" w:space="0"/>
            </w:tcBorders>
            <w:shd w:val="clear" w:color="auto" w:fill="auto"/>
            <w:vAlign w:val="center"/>
          </w:tcPr>
          <w:p w14:paraId="1423877B">
            <w:r>
              <w:t>线下：外部其他场所</w:t>
            </w:r>
          </w:p>
        </w:tc>
      </w:tr>
      <w:tr w14:paraId="4CB84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tcPr>
          <w:p w14:paraId="07B9231E">
            <w:r>
              <w:rPr>
                <w:rFonts w:hint="eastAsia"/>
              </w:rPr>
              <w:t>上市公司接待人员姓名</w:t>
            </w:r>
          </w:p>
        </w:tc>
        <w:tc>
          <w:tcPr>
            <w:tcW w:w="6434" w:type="dxa"/>
            <w:tcBorders>
              <w:top w:val="single" w:color="auto" w:sz="4" w:space="0"/>
              <w:left w:val="single" w:color="auto" w:sz="4" w:space="0"/>
              <w:bottom w:val="single" w:color="auto" w:sz="4" w:space="0"/>
              <w:right w:val="single" w:color="auto" w:sz="4" w:space="0"/>
            </w:tcBorders>
            <w:shd w:val="clear" w:color="auto" w:fill="auto"/>
            <w:vAlign w:val="center"/>
          </w:tcPr>
          <w:p w14:paraId="2BFF7411">
            <w:r>
              <w:rPr>
                <w:rFonts w:hint="eastAsia"/>
              </w:rPr>
              <w:t>投资总监：韩暘先生</w:t>
            </w:r>
          </w:p>
        </w:tc>
      </w:tr>
      <w:tr w14:paraId="2AFE3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589C9950">
            <w:r>
              <w:rPr>
                <w:rFonts w:hint="eastAsia"/>
              </w:rPr>
              <w:t>投资者关系活动主要内容介绍</w:t>
            </w:r>
          </w:p>
          <w:p w14:paraId="0923ED2D"/>
        </w:tc>
        <w:tc>
          <w:tcPr>
            <w:tcW w:w="6434" w:type="dxa"/>
            <w:tcBorders>
              <w:top w:val="single" w:color="auto" w:sz="4" w:space="0"/>
              <w:left w:val="single" w:color="auto" w:sz="4" w:space="0"/>
              <w:bottom w:val="single" w:color="auto" w:sz="4" w:space="0"/>
              <w:right w:val="single" w:color="auto" w:sz="4" w:space="0"/>
            </w:tcBorders>
            <w:shd w:val="clear" w:color="auto" w:fill="auto"/>
          </w:tcPr>
          <w:p w14:paraId="70EC6CC7">
            <w:pPr>
              <w:pStyle w:val="14"/>
              <w:numPr>
                <w:ilvl w:val="-1"/>
                <w:numId w:val="0"/>
              </w:numPr>
              <w:ind w:left="0" w:firstLine="0" w:firstLineChars="0"/>
              <w:rPr>
                <w:b/>
                <w:bCs w:val="0"/>
              </w:rPr>
            </w:pPr>
            <w:r>
              <w:rPr>
                <w:rFonts w:hint="eastAsia"/>
                <w:b/>
                <w:bCs w:val="0"/>
                <w:lang w:val="en-US" w:eastAsia="zh-CN"/>
              </w:rPr>
              <w:t>一、</w:t>
            </w:r>
            <w:r>
              <w:rPr>
                <w:rFonts w:hint="eastAsia"/>
                <w:b/>
                <w:bCs w:val="0"/>
              </w:rPr>
              <w:t>公司情况介绍</w:t>
            </w:r>
          </w:p>
          <w:p w14:paraId="5BDECEE6">
            <w:pPr>
              <w:pStyle w:val="14"/>
              <w:numPr>
                <w:ilvl w:val="-1"/>
                <w:numId w:val="0"/>
              </w:numPr>
              <w:ind w:left="0" w:firstLine="0" w:firstLineChars="0"/>
              <w:rPr>
                <w:rFonts w:ascii="Times New Roman" w:hAnsi="Times New Roman"/>
                <w:b/>
                <w:bCs w:val="0"/>
              </w:rPr>
            </w:pPr>
            <w:r>
              <w:rPr>
                <w:rFonts w:hint="eastAsia" w:ascii="Times New Roman" w:hAnsi="Times New Roman"/>
                <w:b/>
                <w:bCs w:val="0"/>
                <w:lang w:val="en-US" w:eastAsia="zh-CN"/>
              </w:rPr>
              <w:t>二、</w:t>
            </w:r>
            <w:r>
              <w:rPr>
                <w:rFonts w:ascii="Times New Roman" w:hAnsi="Times New Roman"/>
                <w:b/>
                <w:bCs w:val="0"/>
              </w:rPr>
              <w:t>Q&amp;A</w:t>
            </w:r>
          </w:p>
          <w:p w14:paraId="6AA22917">
            <w:pPr>
              <w:ind w:firstLine="482" w:firstLineChars="200"/>
              <w:rPr>
                <w:b/>
                <w:bCs w:val="0"/>
              </w:rPr>
            </w:pPr>
            <w:r>
              <w:rPr>
                <w:rFonts w:hint="default" w:ascii="Times New Roman" w:hAnsi="Times New Roman"/>
                <w:b/>
                <w:bCs w:val="0"/>
              </w:rPr>
              <w:t>1、</w:t>
            </w:r>
            <w:r>
              <w:rPr>
                <w:rFonts w:hint="eastAsia"/>
                <w:b/>
                <w:bCs w:val="0"/>
              </w:rPr>
              <w:t>请介绍近期公司中标龙岗机器人</w:t>
            </w:r>
            <w:r>
              <w:rPr>
                <w:rFonts w:hint="eastAsia"/>
                <w:b/>
                <w:bCs w:val="0"/>
                <w:lang w:val="en-US" w:eastAsia="zh-CN"/>
              </w:rPr>
              <w:t>指挥</w:t>
            </w:r>
            <w:r>
              <w:rPr>
                <w:rFonts w:hint="eastAsia"/>
                <w:b/>
                <w:bCs w:val="0"/>
              </w:rPr>
              <w:t>平台的情况？</w:t>
            </w:r>
          </w:p>
          <w:p w14:paraId="028B5B8C">
            <w:pPr>
              <w:ind w:firstLine="480" w:firstLineChars="200"/>
              <w:rPr>
                <w:rFonts w:hint="eastAsia"/>
              </w:rPr>
            </w:pPr>
            <w:r>
              <w:rPr>
                <w:rFonts w:hint="eastAsia"/>
              </w:rPr>
              <w:t>答：</w:t>
            </w:r>
            <w:r>
              <w:rPr>
                <w:rFonts w:hint="eastAsia"/>
                <w:lang w:val="en-US" w:eastAsia="zh-CN"/>
              </w:rPr>
              <w:t>近期，</w:t>
            </w:r>
            <w:r>
              <w:rPr>
                <w:rFonts w:hint="eastAsia"/>
              </w:rPr>
              <w:t>云天励飞中标</w:t>
            </w:r>
            <w:r>
              <w:rPr>
                <w:rFonts w:hint="default" w:ascii="Times New Roman" w:hAnsi="Times New Roman"/>
              </w:rPr>
              <w:t>AI</w:t>
            </w:r>
            <w:r>
              <w:rPr>
                <w:rFonts w:hint="eastAsia"/>
              </w:rPr>
              <w:t>龙岗一期</w:t>
            </w:r>
            <w:r>
              <w:rPr>
                <w:rFonts w:hint="default" w:ascii="Times New Roman" w:hAnsi="Times New Roman"/>
              </w:rPr>
              <w:t>1.22</w:t>
            </w:r>
            <w:r>
              <w:rPr>
                <w:rFonts w:hint="eastAsia"/>
              </w:rPr>
              <w:t>亿元项目，</w:t>
            </w:r>
            <w:r>
              <w:rPr>
                <w:rFonts w:hint="eastAsia"/>
                <w:lang w:val="en-US" w:eastAsia="zh-CN"/>
              </w:rPr>
              <w:t>此项目</w:t>
            </w:r>
            <w:r>
              <w:rPr>
                <w:rFonts w:hint="eastAsia"/>
              </w:rPr>
              <w:t>是深圳市龙岗区人工智能发展战略的重要支撑工程</w:t>
            </w:r>
            <w:r>
              <w:rPr>
                <w:rFonts w:hint="eastAsia"/>
                <w:lang w:eastAsia="zh-CN"/>
              </w:rPr>
              <w:t>，</w:t>
            </w:r>
            <w:r>
              <w:rPr>
                <w:rFonts w:hint="eastAsia"/>
                <w:lang w:val="en-US" w:eastAsia="zh-CN"/>
              </w:rPr>
              <w:t>在此项目中，</w:t>
            </w:r>
            <w:r>
              <w:rPr>
                <w:rFonts w:hint="eastAsia"/>
              </w:rPr>
              <w:t>云</w:t>
            </w:r>
            <w:bookmarkStart w:id="0" w:name="_GoBack"/>
            <w:bookmarkEnd w:id="0"/>
            <w:r>
              <w:rPr>
                <w:rFonts w:hint="eastAsia"/>
              </w:rPr>
              <w:t>天励飞重点负责建设城市治理智能体和机器人指挥平台两大核心板块</w:t>
            </w:r>
            <w:r>
              <w:rPr>
                <w:rFonts w:hint="eastAsia"/>
                <w:lang w:eastAsia="zh-CN"/>
              </w:rPr>
              <w:t>，</w:t>
            </w:r>
            <w:r>
              <w:rPr>
                <w:rFonts w:hint="eastAsia"/>
              </w:rPr>
              <w:t>将为龙岗区打造AI与机器人示范场景提供技术支撑，助力城市治理智能化水平持续提升。</w:t>
            </w:r>
          </w:p>
          <w:p w14:paraId="35BF063D">
            <w:pPr>
              <w:ind w:firstLine="480" w:firstLineChars="200"/>
            </w:pPr>
            <w:r>
              <w:rPr>
                <w:rFonts w:hint="eastAsia"/>
              </w:rPr>
              <w:t>未来云天励飞将持续发挥自研</w:t>
            </w:r>
            <w:r>
              <w:rPr>
                <w:rFonts w:hint="default" w:ascii="Times New Roman" w:hAnsi="Times New Roman"/>
              </w:rPr>
              <w:t>NPU</w:t>
            </w:r>
            <w:r>
              <w:rPr>
                <w:rFonts w:hint="eastAsia"/>
              </w:rPr>
              <w:t>推理芯片及工具链在高效推理与边缘计算方面的技术优势，携手生态伙伴，推动更多类型机器人的统一接入</w:t>
            </w:r>
            <w:r>
              <w:rPr>
                <w:rFonts w:hint="eastAsia"/>
                <w:lang w:eastAsia="zh-CN"/>
              </w:rPr>
              <w:t>、</w:t>
            </w:r>
            <w:r>
              <w:rPr>
                <w:rFonts w:hint="eastAsia"/>
              </w:rPr>
              <w:t>边缘算力与模型能力的协同适配。在保障系统稳定运行与安全可控的基础上，进一步验证</w:t>
            </w:r>
            <w:r>
              <w:rPr>
                <w:rFonts w:hint="default" w:ascii="Times New Roman" w:hAnsi="Times New Roman"/>
              </w:rPr>
              <w:t>AI</w:t>
            </w:r>
            <w:r>
              <w:rPr>
                <w:rFonts w:hint="eastAsia"/>
              </w:rPr>
              <w:t>与机器人在真实城市场景中的应用价值，推动示范项目从“可用”走向“好用、常用”，为城市治理与公共服务的智能化升级提供可复制、可推广的实践样本。</w:t>
            </w:r>
          </w:p>
          <w:p w14:paraId="6E8B880A">
            <w:pPr>
              <w:ind w:firstLine="482" w:firstLineChars="200"/>
              <w:rPr>
                <w:b/>
                <w:bCs w:val="0"/>
              </w:rPr>
            </w:pPr>
            <w:r>
              <w:rPr>
                <w:rFonts w:hint="default" w:ascii="Times New Roman" w:hAnsi="Times New Roman"/>
                <w:b/>
                <w:bCs w:val="0"/>
              </w:rPr>
              <w:t>2、</w:t>
            </w:r>
            <w:r>
              <w:rPr>
                <w:rFonts w:hint="eastAsia"/>
                <w:b/>
                <w:bCs w:val="0"/>
              </w:rPr>
              <w:t>能否介绍云天励飞和</w:t>
            </w:r>
            <w:r>
              <w:rPr>
                <w:rFonts w:hint="default"/>
                <w:b/>
                <w:bCs w:val="0"/>
              </w:rPr>
              <w:t>3</w:t>
            </w:r>
            <w:r>
              <w:rPr>
                <w:b/>
                <w:bCs w:val="0"/>
              </w:rPr>
              <w:t>60</w:t>
            </w:r>
            <w:r>
              <w:rPr>
                <w:rFonts w:hint="eastAsia"/>
                <w:b/>
                <w:bCs w:val="0"/>
              </w:rPr>
              <w:t>集团的</w:t>
            </w:r>
            <w:r>
              <w:rPr>
                <w:rFonts w:hint="eastAsia"/>
                <w:b/>
                <w:bCs w:val="0"/>
                <w:lang w:val="en-US" w:eastAsia="zh-CN"/>
              </w:rPr>
              <w:t>战略</w:t>
            </w:r>
            <w:r>
              <w:rPr>
                <w:rFonts w:hint="eastAsia"/>
                <w:b/>
                <w:bCs w:val="0"/>
              </w:rPr>
              <w:t>合作？</w:t>
            </w:r>
          </w:p>
          <w:p w14:paraId="5A2FCAFA">
            <w:pPr>
              <w:ind w:firstLine="480" w:firstLineChars="200"/>
            </w:pPr>
            <w:r>
              <w:rPr>
                <w:rFonts w:hint="eastAsia"/>
              </w:rPr>
              <w:t>答：</w:t>
            </w:r>
            <w:r>
              <w:rPr>
                <w:rFonts w:hint="eastAsia"/>
                <w:lang w:val="en-US" w:eastAsia="zh-CN"/>
              </w:rPr>
              <w:t>近日，</w:t>
            </w:r>
            <w:r>
              <w:rPr>
                <w:rFonts w:hint="eastAsia"/>
              </w:rPr>
              <w:t>云天励飞</w:t>
            </w:r>
            <w:r>
              <w:t>与</w:t>
            </w:r>
            <w:r>
              <w:rPr>
                <w:rFonts w:ascii="Times New Roman" w:hAnsi="Times New Roman"/>
              </w:rPr>
              <w:t>360</w:t>
            </w:r>
            <w:r>
              <w:t>集团签署战略合作协议</w:t>
            </w:r>
            <w:r>
              <w:rPr>
                <w:rFonts w:hint="eastAsia"/>
              </w:rPr>
              <w:t>，</w:t>
            </w:r>
            <w:r>
              <w:rPr>
                <w:rFonts w:hint="eastAsia"/>
                <w:lang w:val="en-US" w:eastAsia="zh-CN"/>
              </w:rPr>
              <w:t>未来</w:t>
            </w:r>
            <w:r>
              <w:t>双方将以“</w:t>
            </w:r>
            <w:r>
              <w:rPr>
                <w:rFonts w:ascii="Times New Roman" w:hAnsi="Times New Roman"/>
              </w:rPr>
              <w:t>AI</w:t>
            </w:r>
            <w:r>
              <w:t>+安全”为核心，推进多维度合作落地：一方面，结合云天励飞</w:t>
            </w:r>
            <w:r>
              <w:rPr>
                <w:rFonts w:ascii="Times New Roman" w:hAnsi="Times New Roman"/>
              </w:rPr>
              <w:t>DeepEdge</w:t>
            </w:r>
            <w:r>
              <w:t>与</w:t>
            </w:r>
            <w:r>
              <w:rPr>
                <w:rFonts w:ascii="Times New Roman" w:hAnsi="Times New Roman"/>
              </w:rPr>
              <w:t>DeepXbot</w:t>
            </w:r>
            <w:r>
              <w:t>系列芯片能力与</w:t>
            </w:r>
            <w:r>
              <w:rPr>
                <w:rFonts w:ascii="Times New Roman" w:hAnsi="Times New Roman"/>
              </w:rPr>
              <w:t>360</w:t>
            </w:r>
            <w:r>
              <w:t>智能硬件矩阵，打造更多安全可靠的创新产品；另一方面，以</w:t>
            </w:r>
            <w:r>
              <w:rPr>
                <w:rFonts w:ascii="Times New Roman" w:hAnsi="Times New Roman"/>
              </w:rPr>
              <w:t>DeepVerse</w:t>
            </w:r>
            <w:r>
              <w:t>赋能</w:t>
            </w:r>
            <w:r>
              <w:rPr>
                <w:rFonts w:ascii="Times New Roman" w:hAnsi="Times New Roman"/>
              </w:rPr>
              <w:t>360 AI</w:t>
            </w:r>
            <w:r>
              <w:t>平台服务能力，提升国产生态下的推理效率与部署灵活性。同时，双方还将联合研发面向智能体（</w:t>
            </w:r>
            <w:r>
              <w:rPr>
                <w:rFonts w:ascii="Times New Roman" w:hAnsi="Times New Roman"/>
              </w:rPr>
              <w:t>Agent</w:t>
            </w:r>
            <w:r>
              <w:t>）的</w:t>
            </w:r>
            <w:r>
              <w:rPr>
                <w:rFonts w:ascii="Times New Roman" w:hAnsi="Times New Roman"/>
              </w:rPr>
              <w:t>AI</w:t>
            </w:r>
            <w:r>
              <w:t>安全防护能力，探索大模型安全与智慧生活深度融合的新产品、新场景与新模式。</w:t>
            </w:r>
            <w:r>
              <w:rPr>
                <w:rFonts w:hint="eastAsia"/>
              </w:rPr>
              <w:t>合作双方</w:t>
            </w:r>
            <w:r>
              <w:rPr>
                <w:rFonts w:hint="eastAsia"/>
                <w:lang w:val="en-US" w:eastAsia="zh-CN"/>
              </w:rPr>
              <w:t>将</w:t>
            </w:r>
            <w:r>
              <w:t>把“算力底座×安全能力×场景落地”形成闭环，加速国产生态下</w:t>
            </w:r>
            <w:r>
              <w:rPr>
                <w:rFonts w:ascii="Times New Roman" w:hAnsi="Times New Roman"/>
              </w:rPr>
              <w:t>AI</w:t>
            </w:r>
            <w:r>
              <w:t>推理从“可用”走向“好用、敢用、规模化应用”。</w:t>
            </w:r>
          </w:p>
        </w:tc>
      </w:tr>
      <w:tr w14:paraId="329509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62" w:type="dxa"/>
            <w:tcBorders>
              <w:top w:val="single" w:color="auto" w:sz="4" w:space="0"/>
              <w:left w:val="single" w:color="auto" w:sz="4" w:space="0"/>
              <w:bottom w:val="single" w:color="auto" w:sz="4" w:space="0"/>
              <w:right w:val="single" w:color="auto" w:sz="4" w:space="0"/>
            </w:tcBorders>
            <w:shd w:val="clear" w:color="auto" w:fill="auto"/>
            <w:vAlign w:val="center"/>
          </w:tcPr>
          <w:p w14:paraId="3A523996">
            <w:r>
              <w:rPr>
                <w:rFonts w:hint="eastAsia"/>
              </w:rPr>
              <w:t>附件清单（如有）</w:t>
            </w:r>
          </w:p>
        </w:tc>
        <w:tc>
          <w:tcPr>
            <w:tcW w:w="6434" w:type="dxa"/>
            <w:tcBorders>
              <w:top w:val="single" w:color="auto" w:sz="4" w:space="0"/>
              <w:left w:val="single" w:color="auto" w:sz="4" w:space="0"/>
              <w:bottom w:val="single" w:color="auto" w:sz="4" w:space="0"/>
              <w:right w:val="single" w:color="auto" w:sz="4" w:space="0"/>
            </w:tcBorders>
            <w:shd w:val="clear" w:color="auto" w:fill="auto"/>
          </w:tcPr>
          <w:p w14:paraId="0A5211EB">
            <w:r>
              <w:rPr>
                <w:rFonts w:hint="eastAsia"/>
              </w:rPr>
              <w:t>无</w:t>
            </w:r>
          </w:p>
        </w:tc>
      </w:tr>
    </w:tbl>
    <w:p w14:paraId="5EB5895A"/>
    <w:p w14:paraId="58E2250F"/>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Segoe UI Symbol">
    <w:panose1 w:val="020B0502040204020203"/>
    <w:charset w:val="00"/>
    <w:family w:val="swiss"/>
    <w:pitch w:val="default"/>
    <w:sig w:usb0="800001E3" w:usb1="1200FFEF" w:usb2="00040000" w:usb3="04000000" w:csb0="00000001" w:csb1="4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ZiZmU2YWZhNDAzYjJjMTgyNzQ3NGMzOTI4ODQwNGEifQ=="/>
  </w:docVars>
  <w:rsids>
    <w:rsidRoot w:val="00DB361F"/>
    <w:rsid w:val="00005DB8"/>
    <w:rsid w:val="00005ED5"/>
    <w:rsid w:val="000904E1"/>
    <w:rsid w:val="000C69EE"/>
    <w:rsid w:val="000D6315"/>
    <w:rsid w:val="000E51D0"/>
    <w:rsid w:val="00107A0B"/>
    <w:rsid w:val="00123A01"/>
    <w:rsid w:val="001C5BA8"/>
    <w:rsid w:val="001E38B3"/>
    <w:rsid w:val="00205B8C"/>
    <w:rsid w:val="00221AAE"/>
    <w:rsid w:val="00240774"/>
    <w:rsid w:val="0027476E"/>
    <w:rsid w:val="002A4A55"/>
    <w:rsid w:val="002B086A"/>
    <w:rsid w:val="002B29A0"/>
    <w:rsid w:val="002C0D62"/>
    <w:rsid w:val="002E3145"/>
    <w:rsid w:val="003175D9"/>
    <w:rsid w:val="003238A9"/>
    <w:rsid w:val="00350EA0"/>
    <w:rsid w:val="003B26E7"/>
    <w:rsid w:val="003C2C62"/>
    <w:rsid w:val="003C41B4"/>
    <w:rsid w:val="00404DD2"/>
    <w:rsid w:val="00487889"/>
    <w:rsid w:val="0049755C"/>
    <w:rsid w:val="004E080D"/>
    <w:rsid w:val="004E0A03"/>
    <w:rsid w:val="004E42DE"/>
    <w:rsid w:val="004E7042"/>
    <w:rsid w:val="004F4961"/>
    <w:rsid w:val="00564FEE"/>
    <w:rsid w:val="00574245"/>
    <w:rsid w:val="005D713C"/>
    <w:rsid w:val="00607023"/>
    <w:rsid w:val="00653771"/>
    <w:rsid w:val="006955E2"/>
    <w:rsid w:val="006C42AF"/>
    <w:rsid w:val="007502A8"/>
    <w:rsid w:val="00781BC0"/>
    <w:rsid w:val="00797167"/>
    <w:rsid w:val="007C302D"/>
    <w:rsid w:val="007C79EB"/>
    <w:rsid w:val="007D4DB1"/>
    <w:rsid w:val="007E4D6F"/>
    <w:rsid w:val="008159ED"/>
    <w:rsid w:val="00833998"/>
    <w:rsid w:val="008547B7"/>
    <w:rsid w:val="0087485F"/>
    <w:rsid w:val="00875DF9"/>
    <w:rsid w:val="008D55CF"/>
    <w:rsid w:val="008F013D"/>
    <w:rsid w:val="009271A0"/>
    <w:rsid w:val="00930053"/>
    <w:rsid w:val="00932985"/>
    <w:rsid w:val="00961AC0"/>
    <w:rsid w:val="00986C92"/>
    <w:rsid w:val="00996CC7"/>
    <w:rsid w:val="00A36904"/>
    <w:rsid w:val="00A66CA2"/>
    <w:rsid w:val="00A90CB9"/>
    <w:rsid w:val="00A91CFD"/>
    <w:rsid w:val="00AA04B3"/>
    <w:rsid w:val="00B07E37"/>
    <w:rsid w:val="00B20410"/>
    <w:rsid w:val="00B51AC9"/>
    <w:rsid w:val="00B70AAF"/>
    <w:rsid w:val="00B82364"/>
    <w:rsid w:val="00BC27F0"/>
    <w:rsid w:val="00BD34FE"/>
    <w:rsid w:val="00BE36BA"/>
    <w:rsid w:val="00BE4930"/>
    <w:rsid w:val="00C23F1E"/>
    <w:rsid w:val="00C72F91"/>
    <w:rsid w:val="00CA1729"/>
    <w:rsid w:val="00CE2ACA"/>
    <w:rsid w:val="00D5509C"/>
    <w:rsid w:val="00D977F4"/>
    <w:rsid w:val="00D97C05"/>
    <w:rsid w:val="00DB361F"/>
    <w:rsid w:val="00DC5BA5"/>
    <w:rsid w:val="00DE34A3"/>
    <w:rsid w:val="00DE5217"/>
    <w:rsid w:val="00DE678C"/>
    <w:rsid w:val="00E11F38"/>
    <w:rsid w:val="00E62194"/>
    <w:rsid w:val="00E7556A"/>
    <w:rsid w:val="00EC46D1"/>
    <w:rsid w:val="00ED3095"/>
    <w:rsid w:val="00EE5BF7"/>
    <w:rsid w:val="00F00C5D"/>
    <w:rsid w:val="00F11A0C"/>
    <w:rsid w:val="00F9016A"/>
    <w:rsid w:val="00F959BE"/>
    <w:rsid w:val="00F97483"/>
    <w:rsid w:val="028C6137"/>
    <w:rsid w:val="04D375D7"/>
    <w:rsid w:val="062E0F1B"/>
    <w:rsid w:val="06A83220"/>
    <w:rsid w:val="0AEE769E"/>
    <w:rsid w:val="0B424E1A"/>
    <w:rsid w:val="0EB43068"/>
    <w:rsid w:val="13082AF4"/>
    <w:rsid w:val="16864FC3"/>
    <w:rsid w:val="177644D0"/>
    <w:rsid w:val="17E11EA2"/>
    <w:rsid w:val="18893D8F"/>
    <w:rsid w:val="1D0B4E33"/>
    <w:rsid w:val="1D4E3BA5"/>
    <w:rsid w:val="1DF93765"/>
    <w:rsid w:val="2AEA4B61"/>
    <w:rsid w:val="30FA7AC8"/>
    <w:rsid w:val="31E56082"/>
    <w:rsid w:val="33705E1F"/>
    <w:rsid w:val="38E01351"/>
    <w:rsid w:val="39F350B4"/>
    <w:rsid w:val="3ADD1FEC"/>
    <w:rsid w:val="3BBC42F8"/>
    <w:rsid w:val="3E2B12C1"/>
    <w:rsid w:val="40AB108F"/>
    <w:rsid w:val="419450A2"/>
    <w:rsid w:val="43B810F6"/>
    <w:rsid w:val="4EF97456"/>
    <w:rsid w:val="4F166F97"/>
    <w:rsid w:val="50392C9D"/>
    <w:rsid w:val="505731E7"/>
    <w:rsid w:val="56A612C8"/>
    <w:rsid w:val="5758266E"/>
    <w:rsid w:val="61515EA0"/>
    <w:rsid w:val="61704091"/>
    <w:rsid w:val="621647BA"/>
    <w:rsid w:val="63FE731D"/>
    <w:rsid w:val="66F531E4"/>
    <w:rsid w:val="688018A5"/>
    <w:rsid w:val="70757340"/>
    <w:rsid w:val="724539F8"/>
    <w:rsid w:val="736336B7"/>
    <w:rsid w:val="790A3F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80" w:lineRule="atLeast"/>
      <w:jc w:val="both"/>
    </w:pPr>
    <w:rPr>
      <w:rFonts w:ascii="宋体" w:hAnsi="宋体" w:eastAsia="宋体" w:cs="Times New Roman"/>
      <w:bCs/>
      <w:iCs/>
      <w:kern w:val="2"/>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ody Text"/>
    <w:basedOn w:val="1"/>
    <w:qFormat/>
    <w:uiPriority w:val="1"/>
    <w:rPr>
      <w:szCs w:val="21"/>
    </w:rPr>
  </w:style>
  <w:style w:type="paragraph" w:styleId="4">
    <w:name w:val="footer"/>
    <w:basedOn w:val="1"/>
    <w:link w:val="12"/>
    <w:autoRedefine/>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autoRedefine/>
    <w:semiHidden/>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kern w:val="0"/>
    </w:rPr>
  </w:style>
  <w:style w:type="character" w:styleId="9">
    <w:name w:val="Strong"/>
    <w:basedOn w:val="8"/>
    <w:qFormat/>
    <w:uiPriority w:val="22"/>
    <w:rPr>
      <w:b/>
    </w:rPr>
  </w:style>
  <w:style w:type="paragraph" w:customStyle="1" w:styleId="10">
    <w:name w:val="Table Paragraph"/>
    <w:basedOn w:val="1"/>
    <w:autoRedefine/>
    <w:qFormat/>
    <w:uiPriority w:val="1"/>
    <w:rPr>
      <w:rFonts w:ascii="Calibri" w:hAnsi="Calibri"/>
    </w:rPr>
  </w:style>
  <w:style w:type="character" w:customStyle="1" w:styleId="11">
    <w:name w:val="页眉 字符"/>
    <w:basedOn w:val="8"/>
    <w:link w:val="5"/>
    <w:autoRedefine/>
    <w:qFormat/>
    <w:uiPriority w:val="99"/>
    <w:rPr>
      <w:rFonts w:ascii="Times New Roman" w:hAnsi="Times New Roman" w:eastAsia="宋体" w:cs="Times New Roman"/>
      <w:sz w:val="18"/>
      <w:szCs w:val="18"/>
    </w:rPr>
  </w:style>
  <w:style w:type="character" w:customStyle="1" w:styleId="12">
    <w:name w:val="页脚 字符"/>
    <w:basedOn w:val="8"/>
    <w:link w:val="4"/>
    <w:autoRedefine/>
    <w:qFormat/>
    <w:uiPriority w:val="99"/>
    <w:rPr>
      <w:rFonts w:ascii="Times New Roman" w:hAnsi="Times New Roman" w:eastAsia="宋体" w:cs="Times New Roman"/>
      <w:sz w:val="18"/>
      <w:szCs w:val="18"/>
    </w:rPr>
  </w:style>
  <w:style w:type="paragraph" w:customStyle="1" w:styleId="13">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styleId="14">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9db93a19-f91c-41f4-a2f1-0858c17dc9cd</errorID>
      <errorWord>暘</errorWord>
      <group>L1_Word</group>
      <groupName>字词问题</groupName>
      <ability>L2_Fanti</ability>
      <abilityName>繁转简</abilityName>
      <candidateList>
        <item>旸</item>
      </candidateList>
      <explain/>
      <paraID>2BFF7411</paraID>
      <start>6</start>
      <end>7</end>
      <status>unmodified</status>
      <modifiedWord/>
      <trackRevisions>false</trackRevisions>
    </reviewItem>
    <reviewItem>
      <errorID>79366fec-d28e-4a48-aab1-816e171e95c9</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6AA22917</paraID>
      <start>0</start>
      <end>2</end>
      <status>unmodified</status>
      <modifiedWord/>
      <trackRevisions>false</trackRevisions>
    </reviewItem>
    <reviewItem>
      <errorID>fbe5f297-d75b-44be-81de-3892f683ae7f</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6E8B880A</paraID>
      <start>0</start>
      <end>2</end>
      <status>unmodified</status>
      <modifiedWord/>
      <trackRevisions>false</trackRevisions>
    </reviewItem>
  </reviewItems>
  <config/>
</contractReview>
</file>

<file path=customXml/itemProps1.xml><?xml version="1.0" encoding="utf-8"?>
<ds:datastoreItem xmlns:ds="http://schemas.openxmlformats.org/officeDocument/2006/customXml" ds:itemID="{23c57366-ce78-43af-a10b-7a477d11b431}">
  <ds:schemaRefs/>
</ds:datastoreItem>
</file>

<file path=docProps/app.xml><?xml version="1.0" encoding="utf-8"?>
<Properties xmlns="http://schemas.openxmlformats.org/officeDocument/2006/extended-properties" xmlns:vt="http://schemas.openxmlformats.org/officeDocument/2006/docPropsVTypes">
  <Template>Normal</Template>
  <Pages>2</Pages>
  <Words>1041</Words>
  <Characters>1130</Characters>
  <Lines>7</Lines>
  <Paragraphs>2</Paragraphs>
  <TotalTime>95</TotalTime>
  <ScaleCrop>false</ScaleCrop>
  <LinksUpToDate>false</LinksUpToDate>
  <CharactersWithSpaces>1244</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2023-05-23T09:59:00Z</dcterms:created>
  <dc:creator>skd004</dc:creator>
  <cp:lastModifiedBy>Hannie</cp:lastModifiedBy>
  <dcterms:modified xsi:type="dcterms:W3CDTF">2025-12-26T06:57:25Z</dcterms:modified>
  <cp:revision>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99C42844F53549A08827236392B9D2D5_13</vt:lpwstr>
  </property>
  <property fmtid="{D5CDD505-2E9C-101B-9397-08002B2CF9AE}" pid="4" name="KSOTemplateDocerSaveRecord">
    <vt:lpwstr>eyJoZGlkIjoiYzg4ZGVhNjYzNmVhYTMyMjIyMGY1ZmZhZmM5OGYwMTMiLCJ1c2VySWQiOiIxMTQ0MzUyMzA4In0=</vt:lpwstr>
  </property>
</Properties>
</file>