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2FAE" w14:textId="77777777" w:rsidR="009246FE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066D0183" w14:textId="77777777" w:rsidR="009246FE" w:rsidRDefault="009246FE">
      <w:pPr>
        <w:rPr>
          <w:rFonts w:ascii="宋体" w:hAnsi="宋体" w:hint="eastAsia"/>
          <w:bCs/>
          <w:sz w:val="24"/>
        </w:rPr>
      </w:pPr>
    </w:p>
    <w:p w14:paraId="6C414555" w14:textId="77777777" w:rsidR="009246FE" w:rsidRDefault="00000000">
      <w:pPr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上海步科自动化股份有限公司</w:t>
      </w:r>
    </w:p>
    <w:p w14:paraId="1011A4AE" w14:textId="77777777" w:rsidR="009246FE" w:rsidRDefault="00000000">
      <w:pPr>
        <w:jc w:val="center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投资者关系活动记录表</w:t>
      </w:r>
    </w:p>
    <w:p w14:paraId="52F98794" w14:textId="77777777" w:rsidR="009246FE" w:rsidRDefault="00000000">
      <w:pPr>
        <w:jc w:val="right"/>
        <w:rPr>
          <w:rFonts w:ascii="黑体" w:eastAsia="黑体" w:hAnsi="黑体" w:cs="黑体" w:hint="eastAsia"/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color w:val="000000"/>
          <w:kern w:val="0"/>
          <w:szCs w:val="21"/>
        </w:rPr>
        <w:t>编号：2026-001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6088"/>
      </w:tblGrid>
      <w:tr w:rsidR="009246FE" w14:paraId="6F713069" w14:textId="77777777">
        <w:tc>
          <w:tcPr>
            <w:tcW w:w="2434" w:type="dxa"/>
            <w:vAlign w:val="center"/>
          </w:tcPr>
          <w:p w14:paraId="76B79AA2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088" w:type="dxa"/>
          </w:tcPr>
          <w:p w14:paraId="3978EF2F" w14:textId="77777777" w:rsidR="009246F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□特定对象调研     ☑分析师会议</w:t>
            </w:r>
          </w:p>
          <w:p w14:paraId="6F7CAB53" w14:textId="77777777" w:rsidR="009246F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 xml:space="preserve">□媒体采访         □业绩说明会 </w:t>
            </w:r>
          </w:p>
          <w:p w14:paraId="1CC57369" w14:textId="77777777" w:rsidR="009246F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 xml:space="preserve">新闻发布会       </w:t>
            </w:r>
            <w:r>
              <w:rPr>
                <w:rFonts w:ascii="宋体" w:eastAsia="宋体" w:hAnsi="宋体" w:cs="Segoe UI Symbol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路演活动</w:t>
            </w:r>
          </w:p>
          <w:p w14:paraId="5DE9381E" w14:textId="77777777" w:rsidR="009246F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□现场参观         ☑一对一沟通</w:t>
            </w:r>
          </w:p>
          <w:p w14:paraId="52E412EC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</w:rPr>
              <w:t>□其他（电话会议）</w:t>
            </w:r>
          </w:p>
        </w:tc>
      </w:tr>
      <w:tr w:rsidR="009246FE" w14:paraId="6B6F827E" w14:textId="77777777">
        <w:tc>
          <w:tcPr>
            <w:tcW w:w="2434" w:type="dxa"/>
            <w:vAlign w:val="center"/>
          </w:tcPr>
          <w:p w14:paraId="01E25465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参与单位名称</w:t>
            </w:r>
          </w:p>
        </w:tc>
        <w:tc>
          <w:tcPr>
            <w:tcW w:w="6088" w:type="dxa"/>
          </w:tcPr>
          <w:p w14:paraId="43837E5D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华源证券、宝盈基金、平安基金、鹏华基金、前海开源基金、融通基金、安信基金</w:t>
            </w:r>
          </w:p>
          <w:p w14:paraId="14AEF3C7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中泰证券策略会、太平养老、华夏基金</w:t>
            </w:r>
          </w:p>
          <w:p w14:paraId="34BC14D3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国海证券策略会</w:t>
            </w:r>
          </w:p>
          <w:p w14:paraId="140FA992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华泰证券</w:t>
            </w:r>
          </w:p>
          <w:p w14:paraId="34E363FA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华安证券</w:t>
            </w:r>
          </w:p>
        </w:tc>
      </w:tr>
      <w:tr w:rsidR="009246FE" w14:paraId="089B9918" w14:textId="77777777">
        <w:tc>
          <w:tcPr>
            <w:tcW w:w="2434" w:type="dxa"/>
            <w:vAlign w:val="center"/>
          </w:tcPr>
          <w:p w14:paraId="66A3FC76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6088" w:type="dxa"/>
          </w:tcPr>
          <w:p w14:paraId="59E578CE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2026年1月13日 09:00 10:00 11:30 13:00 14:30 16:00</w:t>
            </w:r>
          </w:p>
          <w:p w14:paraId="0CFE7BBD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2026年1月14日 14:30 15:30 16:30</w:t>
            </w:r>
          </w:p>
          <w:p w14:paraId="14AB53C4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2026年1月15日 10:00 13:30 15:00</w:t>
            </w:r>
          </w:p>
        </w:tc>
      </w:tr>
      <w:tr w:rsidR="009246FE" w14:paraId="05E6AFB6" w14:textId="77777777">
        <w:tc>
          <w:tcPr>
            <w:tcW w:w="2434" w:type="dxa"/>
            <w:vAlign w:val="center"/>
          </w:tcPr>
          <w:p w14:paraId="10EAF300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  <w:tc>
          <w:tcPr>
            <w:tcW w:w="6088" w:type="dxa"/>
          </w:tcPr>
          <w:p w14:paraId="04932C97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深圳市福田区投行大厦10楼</w:t>
            </w:r>
          </w:p>
          <w:p w14:paraId="2FCC76A9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深圳市福田区益田路5033号</w:t>
            </w:r>
          </w:p>
          <w:p w14:paraId="7A6D37D1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深圳市福田区福华三路168号</w:t>
            </w:r>
          </w:p>
          <w:p w14:paraId="4C025BB8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深圳市福田区深南大道7006号</w:t>
            </w:r>
          </w:p>
          <w:p w14:paraId="21F80304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深圳市南山区海德三道1066号</w:t>
            </w:r>
          </w:p>
          <w:p w14:paraId="44510AC7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深圳市福田区福华一路119号</w:t>
            </w:r>
          </w:p>
          <w:p w14:paraId="497E76EE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上海市金茂君悦大酒店</w:t>
            </w:r>
          </w:p>
          <w:p w14:paraId="04485A76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上海市凯宾斯基大酒店</w:t>
            </w:r>
          </w:p>
          <w:p w14:paraId="02DBB69E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上海市华泰金融大厦</w:t>
            </w:r>
          </w:p>
          <w:p w14:paraId="1C5C908A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上海市陆家嘴富汇大厦A座</w:t>
            </w:r>
          </w:p>
        </w:tc>
      </w:tr>
      <w:tr w:rsidR="009246FE" w14:paraId="0BBA375B" w14:textId="77777777">
        <w:tc>
          <w:tcPr>
            <w:tcW w:w="2434" w:type="dxa"/>
            <w:vAlign w:val="center"/>
          </w:tcPr>
          <w:p w14:paraId="0D2311CF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公司接待人员姓名</w:t>
            </w:r>
          </w:p>
        </w:tc>
        <w:tc>
          <w:tcPr>
            <w:tcW w:w="6088" w:type="dxa"/>
          </w:tcPr>
          <w:p w14:paraId="2966EB47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董事会秘书 刘耘</w:t>
            </w:r>
          </w:p>
          <w:p w14:paraId="5A5EB8FB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证券事务代表 邵凯真</w:t>
            </w:r>
          </w:p>
        </w:tc>
      </w:tr>
      <w:tr w:rsidR="009246FE" w14:paraId="39EC3955" w14:textId="77777777">
        <w:tc>
          <w:tcPr>
            <w:tcW w:w="2434" w:type="dxa"/>
            <w:vAlign w:val="center"/>
          </w:tcPr>
          <w:p w14:paraId="38AF47D2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088" w:type="dxa"/>
          </w:tcPr>
          <w:p w14:paraId="19EFBFA7" w14:textId="58976318" w:rsidR="009246FE" w:rsidRPr="009625D2" w:rsidRDefault="00000000" w:rsidP="009625D2">
            <w:pPr>
              <w:pStyle w:val="a7"/>
              <w:numPr>
                <w:ilvl w:val="0"/>
                <w:numId w:val="2"/>
              </w:numPr>
              <w:spacing w:line="312" w:lineRule="auto"/>
              <w:ind w:firstLineChars="0"/>
              <w:rPr>
                <w:rFonts w:ascii="宋体" w:eastAsia="宋体" w:hAnsi="宋体" w:cs="宋体" w:hint="eastAsia"/>
                <w:sz w:val="24"/>
              </w:rPr>
            </w:pPr>
            <w:r w:rsidRPr="009625D2">
              <w:rPr>
                <w:rFonts w:ascii="宋体" w:eastAsia="宋体" w:hAnsi="宋体" w:cs="宋体" w:hint="eastAsia"/>
                <w:sz w:val="24"/>
              </w:rPr>
              <w:t>公司未来在机器人方向上有什么规划与布局？</w:t>
            </w:r>
          </w:p>
          <w:p w14:paraId="0E8932A3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答：公司将持续巩固在传统移动机器人（涵盖AGV/AMR、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穿梭车、无人叉车等）领域的领先地位，尤其是在平面移动解决方案方面保持并扩大市场份额；同时，积极拓展以人形机器人、四足机器人为代表的前沿方向，持续推进技术创新和产品迭代，并重点推动已实现突破的臂式机器人等细分赛道实现规模化应用。整体上，公司致力于通过多元化布局、技术协同与生态整合，构建从核心部件到智能作业解决方案的完整能力，从而在机器人行业快速发展中保持长期竞争力。</w:t>
            </w:r>
          </w:p>
          <w:p w14:paraId="699DEDAE" w14:textId="77777777" w:rsidR="009246FE" w:rsidRDefault="009246FE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01758BB6" w14:textId="74617781" w:rsidR="009246FE" w:rsidRPr="009625D2" w:rsidRDefault="00000000" w:rsidP="009625D2">
            <w:pPr>
              <w:pStyle w:val="a7"/>
              <w:numPr>
                <w:ilvl w:val="0"/>
                <w:numId w:val="2"/>
              </w:numPr>
              <w:spacing w:line="312" w:lineRule="auto"/>
              <w:ind w:firstLineChars="0"/>
              <w:rPr>
                <w:rFonts w:ascii="宋体" w:eastAsia="宋体" w:hAnsi="宋体" w:cs="宋体" w:hint="eastAsia"/>
                <w:sz w:val="24"/>
              </w:rPr>
            </w:pPr>
            <w:r w:rsidRPr="009625D2">
              <w:rPr>
                <w:rFonts w:ascii="宋体" w:eastAsia="宋体" w:hAnsi="宋体" w:cs="宋体" w:hint="eastAsia"/>
                <w:sz w:val="24"/>
              </w:rPr>
              <w:t>公司研发投入情况如何？</w:t>
            </w:r>
          </w:p>
          <w:p w14:paraId="0FCA5415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答：2025年前三季度，公司继续坚定推进技术驱动战略，累计研发投入总额达6,292.48万元，较上年同期显著增长15.75%，研发投入占营业收入的比例保持在12.37% 的高位水平。这体现了公司对创新能力与长期技术竞争力的持续重视。</w:t>
            </w:r>
          </w:p>
          <w:p w14:paraId="4768938D" w14:textId="77777777" w:rsidR="009246FE" w:rsidRDefault="009246FE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3A6B6949" w14:textId="77777777" w:rsidR="009246FE" w:rsidRDefault="00000000" w:rsidP="009625D2">
            <w:pPr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公司的产能是否能满足市场需求？</w:t>
            </w:r>
          </w:p>
          <w:p w14:paraId="2215D4C8" w14:textId="3224DB53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答：目前，公司的产能建设与市场需求处于动态匹配、有序提升的过程中。一方面，公司募投项目“常州智能制造生产基地”一期项目已完成建设并投入</w:t>
            </w:r>
            <w:r w:rsidR="009625D2">
              <w:rPr>
                <w:rFonts w:ascii="宋体" w:eastAsia="宋体" w:hAnsi="宋体" w:cs="宋体" w:hint="eastAsia"/>
                <w:sz w:val="24"/>
              </w:rPr>
              <w:t>使用</w:t>
            </w:r>
            <w:r>
              <w:rPr>
                <w:rFonts w:ascii="宋体" w:eastAsia="宋体" w:hAnsi="宋体" w:cs="宋体" w:hint="eastAsia"/>
                <w:sz w:val="24"/>
              </w:rPr>
              <w:t>，</w:t>
            </w:r>
            <w:r w:rsidR="009625D2">
              <w:rPr>
                <w:rFonts w:ascii="宋体" w:eastAsia="宋体" w:hAnsi="宋体" w:cs="宋体" w:hint="eastAsia"/>
                <w:sz w:val="24"/>
              </w:rPr>
              <w:t>2025年下半年开始进入产能爬坡期，</w:t>
            </w:r>
            <w:r>
              <w:rPr>
                <w:rFonts w:ascii="宋体" w:eastAsia="宋体" w:hAnsi="宋体" w:cs="宋体" w:hint="eastAsia"/>
                <w:sz w:val="24"/>
              </w:rPr>
              <w:t>有效缓解了现有订单交付</w:t>
            </w:r>
            <w:r w:rsidR="005D0CB2">
              <w:rPr>
                <w:rFonts w:ascii="宋体" w:eastAsia="宋体" w:hAnsi="宋体" w:cs="宋体" w:hint="eastAsia"/>
                <w:sz w:val="24"/>
              </w:rPr>
              <w:t>的</w:t>
            </w:r>
            <w:r>
              <w:rPr>
                <w:rFonts w:ascii="宋体" w:eastAsia="宋体" w:hAnsi="宋体" w:cs="宋体" w:hint="eastAsia"/>
                <w:sz w:val="24"/>
              </w:rPr>
              <w:t>压力；另一方面，为支撑未来市场需求增长，公司正规划募投项目二期并推进后续产能扩张事宜。</w:t>
            </w:r>
          </w:p>
          <w:p w14:paraId="7BFF4B41" w14:textId="77777777" w:rsidR="009246FE" w:rsidRDefault="009246FE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</w:p>
          <w:p w14:paraId="2689535C" w14:textId="77777777" w:rsidR="009246FE" w:rsidRDefault="00000000" w:rsidP="009625D2">
            <w:pPr>
              <w:numPr>
                <w:ilvl w:val="0"/>
                <w:numId w:val="2"/>
              </w:num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公司产品是否有运用AI技术？</w:t>
            </w:r>
          </w:p>
          <w:p w14:paraId="19F49F96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答：公司产品已积极运用AI技术，并将其作为提升产品智能化水平的重要方向。软件层面，公司自主开发的Kinco DTools Pro组态软件已内置AI助手功能，能够辅助开发人员进行界面设计、逻辑编程与调试优化，有效提升开发效率与交互体验。同时，配套的EdgeAccess2远程运维平台为设备状态监控与数据分析提供了基础，未来可通过集成AI算法实现预测性维护与智能诊断。整体上，公司正持续推进AI技术与硬件设计、软件开发的深度协同，积极把握人工智能与机器人融合的发展机遇，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依托长期积累的工业自动化技术经验，助力制造业实现智能化升级。</w:t>
            </w:r>
          </w:p>
          <w:p w14:paraId="3AA1CC58" w14:textId="77777777" w:rsidR="009246FE" w:rsidRDefault="009246FE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9246FE" w14:paraId="3BB826DB" w14:textId="77777777">
        <w:tc>
          <w:tcPr>
            <w:tcW w:w="2434" w:type="dxa"/>
            <w:vAlign w:val="center"/>
          </w:tcPr>
          <w:p w14:paraId="0671F016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088" w:type="dxa"/>
          </w:tcPr>
          <w:p w14:paraId="70539824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</w:p>
        </w:tc>
      </w:tr>
      <w:tr w:rsidR="009246FE" w14:paraId="2F03D35E" w14:textId="77777777">
        <w:tc>
          <w:tcPr>
            <w:tcW w:w="2434" w:type="dxa"/>
            <w:vAlign w:val="center"/>
          </w:tcPr>
          <w:p w14:paraId="2D83B64A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088" w:type="dxa"/>
          </w:tcPr>
          <w:p w14:paraId="7C854A0A" w14:textId="77777777" w:rsidR="009246FE" w:rsidRDefault="00000000">
            <w:pPr>
              <w:spacing w:line="312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2026年1月13日-15日</w:t>
            </w:r>
          </w:p>
        </w:tc>
      </w:tr>
    </w:tbl>
    <w:p w14:paraId="799E922C" w14:textId="77777777" w:rsidR="009246FE" w:rsidRDefault="009246FE"/>
    <w:sectPr w:rsidR="00924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7748F"/>
    <w:multiLevelType w:val="singleLevel"/>
    <w:tmpl w:val="8FD7748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C2D3CEC"/>
    <w:multiLevelType w:val="hybridMultilevel"/>
    <w:tmpl w:val="392EEC4C"/>
    <w:lvl w:ilvl="0" w:tplc="324AAE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4951027">
    <w:abstractNumId w:val="0"/>
  </w:num>
  <w:num w:numId="2" w16cid:durableId="207365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C26066"/>
    <w:rsid w:val="00123ACE"/>
    <w:rsid w:val="001C72AB"/>
    <w:rsid w:val="003427D2"/>
    <w:rsid w:val="004210A5"/>
    <w:rsid w:val="005463F4"/>
    <w:rsid w:val="00553135"/>
    <w:rsid w:val="005D0CB2"/>
    <w:rsid w:val="005E1E60"/>
    <w:rsid w:val="009246FE"/>
    <w:rsid w:val="009625D2"/>
    <w:rsid w:val="00FB099B"/>
    <w:rsid w:val="00FE4AA6"/>
    <w:rsid w:val="024D663C"/>
    <w:rsid w:val="0384614D"/>
    <w:rsid w:val="0441634B"/>
    <w:rsid w:val="054A2F00"/>
    <w:rsid w:val="069D7E4F"/>
    <w:rsid w:val="0732110A"/>
    <w:rsid w:val="0B762225"/>
    <w:rsid w:val="0BC640FE"/>
    <w:rsid w:val="0DB46BF1"/>
    <w:rsid w:val="0E840219"/>
    <w:rsid w:val="10620DA8"/>
    <w:rsid w:val="13B0499D"/>
    <w:rsid w:val="13C921B5"/>
    <w:rsid w:val="15B33CFB"/>
    <w:rsid w:val="1AA027BB"/>
    <w:rsid w:val="1E373B07"/>
    <w:rsid w:val="1F137A73"/>
    <w:rsid w:val="25752ABF"/>
    <w:rsid w:val="2B3B152D"/>
    <w:rsid w:val="2C5724E3"/>
    <w:rsid w:val="2C787B09"/>
    <w:rsid w:val="2D153A12"/>
    <w:rsid w:val="2D5061EB"/>
    <w:rsid w:val="2E7E31F6"/>
    <w:rsid w:val="35836053"/>
    <w:rsid w:val="35B14EE0"/>
    <w:rsid w:val="3B6049CB"/>
    <w:rsid w:val="3C027200"/>
    <w:rsid w:val="3DFB283E"/>
    <w:rsid w:val="41877ED9"/>
    <w:rsid w:val="41DB46F3"/>
    <w:rsid w:val="41F71F64"/>
    <w:rsid w:val="422D5520"/>
    <w:rsid w:val="42305CE2"/>
    <w:rsid w:val="42F51E9D"/>
    <w:rsid w:val="47F52305"/>
    <w:rsid w:val="54393B41"/>
    <w:rsid w:val="57FD4342"/>
    <w:rsid w:val="58F47708"/>
    <w:rsid w:val="5B1563EB"/>
    <w:rsid w:val="5B4D4A8F"/>
    <w:rsid w:val="5CFF45E2"/>
    <w:rsid w:val="641734A5"/>
    <w:rsid w:val="650F6997"/>
    <w:rsid w:val="66402C33"/>
    <w:rsid w:val="691E2D99"/>
    <w:rsid w:val="6A283301"/>
    <w:rsid w:val="70674EDD"/>
    <w:rsid w:val="729A2C47"/>
    <w:rsid w:val="74C826DD"/>
    <w:rsid w:val="76BB49BF"/>
    <w:rsid w:val="77C26066"/>
    <w:rsid w:val="78BF0B7F"/>
    <w:rsid w:val="798E1E9F"/>
    <w:rsid w:val="7B9B2F2D"/>
    <w:rsid w:val="7D7D46A0"/>
    <w:rsid w:val="7DA32391"/>
    <w:rsid w:val="7FC4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E560A"/>
  <w15:docId w15:val="{F98ECBB8-749E-4FBF-9C61-250B5418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962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81009767-e2b4-4ddd-8b6a-a1664a75c34f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7C854A0A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FD7280-90B0-4489-A5D5-BF93A099E7B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余悦</dc:creator>
  <cp:lastModifiedBy>IT Kinco</cp:lastModifiedBy>
  <cp:revision>8</cp:revision>
  <dcterms:created xsi:type="dcterms:W3CDTF">2025-11-13T01:57:00Z</dcterms:created>
  <dcterms:modified xsi:type="dcterms:W3CDTF">2026-01-19T07:43:00Z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E474B86B76A441B4B46A6E5949FA7F2C_13</vt:lpwstr>
  </property>
  <property fmtid="{D5CDD505-2E9C-101B-9397-08002B2CF9AE}" pid="4" name="KSOTemplateDocerSaveRecord">
    <vt:lpwstr>eyJoZGlkIjoiNjljN2I1NWE2YjJkN2ViZTMxOTEwN2E5NWYyYjJkYzciLCJ1c2VySWQiOiIxMjYwMTIwNTkzIn0=</vt:lpwstr>
  </property>
</Properties>
</file>