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CE1B4F">
      <w:pPr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</w:t>
      </w:r>
      <w:proofErr w:type="gramStart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proofErr w:type="gramStart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3E6FAE63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DE5327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21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58D5FE7A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0</w:t>
      </w:r>
      <w:r w:rsidR="00DE5327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3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9802E66" w:rsidR="00BE0459" w:rsidRPr="002F2B7E" w:rsidRDefault="00DE5327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3A0949F9" w:rsidR="00BE0459" w:rsidRPr="002F2B7E" w:rsidRDefault="00DE5327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220A584D" w:rsidR="0014432E" w:rsidRPr="002F2B7E" w:rsidRDefault="002E3D61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 w:rsidRPr="002E3D6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中海基金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2E3D6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银河期货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2E3D6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杭贵投资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DA4DA9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进门、</w:t>
            </w:r>
            <w:r w:rsidRPr="002E3D6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鼎</w:t>
            </w:r>
            <w:proofErr w:type="gramStart"/>
            <w:r w:rsidRPr="002E3D6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睿</w:t>
            </w:r>
            <w:proofErr w:type="gramEnd"/>
            <w:r w:rsidRPr="002E3D6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资产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汇富基金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中邮证券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六禾投资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招商证券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银石投资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征金资本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嘉合基金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睿</w:t>
            </w:r>
            <w:proofErr w:type="gramEnd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源私募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九易资本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泰鼎基金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鲲鹏私募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国晖投资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IGWT Investment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循远资产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誉辉资本</w:t>
            </w:r>
            <w:proofErr w:type="gramEnd"/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正圆私募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F5141D" w:rsidRP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沃金投资</w:t>
            </w:r>
            <w:r w:rsidR="00F5141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源和资产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敦</w:t>
            </w:r>
            <w:proofErr w:type="gramEnd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成私募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明</w:t>
            </w:r>
            <w:proofErr w:type="gramStart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世</w:t>
            </w:r>
            <w:proofErr w:type="gramEnd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伙伴基金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丰道投资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资本市场</w:t>
            </w:r>
            <w:proofErr w:type="gramStart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纾困发展</w:t>
            </w:r>
            <w:proofErr w:type="gramEnd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证券投资基金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尚诚资产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国信证券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长江证券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民生加银基金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长城资管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爱建证券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递归私募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中</w:t>
            </w:r>
            <w:proofErr w:type="gramStart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再资产</w:t>
            </w:r>
            <w:proofErr w:type="gramEnd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管理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勤辰私募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人保资本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proofErr w:type="gramStart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熙山资本</w:t>
            </w:r>
            <w:proofErr w:type="gramEnd"/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Willing Capital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陆家</w:t>
            </w:r>
            <w:proofErr w:type="gramStart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嘴国际</w:t>
            </w:r>
            <w:proofErr w:type="gramEnd"/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信托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富唐资管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康祺资管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塔基资管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D7222" w:rsidRP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农银人寿保险</w:t>
            </w:r>
            <w:r w:rsidR="003D7222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大秦基金</w:t>
            </w:r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战国时代基金</w:t>
            </w:r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德远投资</w:t>
            </w:r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融</w:t>
            </w:r>
            <w:proofErr w:type="gramStart"/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昊</w:t>
            </w:r>
            <w:proofErr w:type="gramEnd"/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资管</w:t>
            </w:r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、工商银行深圳太古支行、</w:t>
            </w:r>
            <w:proofErr w:type="gramStart"/>
            <w:r w:rsidR="001202E5" w:rsidRP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前海国泓私募</w:t>
            </w:r>
            <w:proofErr w:type="gramEnd"/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、红钓私募、</w:t>
            </w:r>
            <w:proofErr w:type="gramStart"/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懂私慕</w:t>
            </w:r>
            <w:proofErr w:type="gramEnd"/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、金聚资管、优美</w:t>
            </w:r>
            <w:proofErr w:type="gramStart"/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丽投资</w:t>
            </w:r>
            <w:proofErr w:type="gramEnd"/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及</w:t>
            </w:r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2</w:t>
            </w:r>
            <w:r w:rsidR="001202E5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名个人投资者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58EBCDD9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="007A279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E7358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19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  <w:r w:rsidR="00DE53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、</w:t>
            </w:r>
            <w:r w:rsidR="00E73583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="00E7358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="00E73583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E7358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</w:t>
            </w:r>
            <w:r w:rsidR="00E73583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DE53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</w:t>
            </w:r>
            <w:r w:rsidR="00E7358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0</w:t>
            </w:r>
            <w:r w:rsidR="00DE53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  <w:r w:rsidR="00970624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4A527E75" w:rsidR="00BE0459" w:rsidRPr="002F2B7E" w:rsidRDefault="00E73583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线上会议</w:t>
            </w:r>
            <w:r w:rsidR="00104EC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、</w:t>
            </w:r>
            <w:r w:rsidR="00B500A1" w:rsidRPr="00B500A1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深圳市龙岗区园山街道大康社区</w:t>
            </w:r>
            <w:proofErr w:type="gramStart"/>
            <w:r w:rsidR="00B500A1" w:rsidRPr="00B500A1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志鹤路</w:t>
            </w:r>
            <w:proofErr w:type="gramEnd"/>
            <w:r w:rsidR="00B500A1" w:rsidRPr="00B500A1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100</w:t>
            </w:r>
            <w:r w:rsidR="00B500A1" w:rsidRPr="00B500A1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号</w:t>
            </w:r>
          </w:p>
        </w:tc>
      </w:tr>
      <w:tr w:rsidR="00BE0459" w:rsidRPr="002F2B7E" w14:paraId="668A7010" w14:textId="77777777" w:rsidTr="004F7648">
        <w:trPr>
          <w:trHeight w:val="41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1A9" w14:textId="77777777" w:rsidR="001202E5" w:rsidRPr="001202E5" w:rsidRDefault="001202E5" w:rsidP="001202E5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0D82B0AD" w14:textId="77777777" w:rsidR="001202E5" w:rsidRPr="001202E5" w:rsidRDefault="001202E5" w:rsidP="001202E5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69C08F1F" w14:textId="3141454D" w:rsidR="001202E5" w:rsidRPr="001202E5" w:rsidRDefault="001202E5" w:rsidP="001202E5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产品线解决方案经理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="00C34BEA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秦波</w:t>
            </w:r>
          </w:p>
          <w:p w14:paraId="74C643BB" w14:textId="39A59376" w:rsidR="004E48A0" w:rsidRDefault="004E48A0" w:rsidP="001202E5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lastRenderedPageBreak/>
              <w:t>数字人产品</w:t>
            </w:r>
            <w:proofErr w:type="gramStart"/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线市场</w:t>
            </w:r>
            <w:proofErr w:type="gramEnd"/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部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总监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李海洋</w:t>
            </w:r>
          </w:p>
          <w:p w14:paraId="475D6F7A" w14:textId="58169105" w:rsidR="0060673A" w:rsidRPr="002F2B7E" w:rsidRDefault="001202E5" w:rsidP="001202E5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数字人产品</w:t>
            </w:r>
            <w:proofErr w:type="gramStart"/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线市场部渠道</w:t>
            </w:r>
            <w:proofErr w:type="gramEnd"/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经理</w:t>
            </w:r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proofErr w:type="gramStart"/>
            <w:r w:rsidRPr="001202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侯文举</w:t>
            </w:r>
            <w:proofErr w:type="gramEnd"/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E65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一、活动内容</w:t>
            </w:r>
          </w:p>
          <w:p w14:paraId="26421588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首先公司总裁助理蔡凌辉介绍了公司当前基本业务及经营情况。</w:t>
            </w:r>
          </w:p>
          <w:p w14:paraId="5040B7E8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二、问答交流，主要内容如下：</w:t>
            </w:r>
          </w:p>
          <w:p w14:paraId="5DDC0D48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、公司的</w:t>
            </w:r>
            <w:proofErr w:type="spellStart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数字人从技术上有什么特点？和市面上的数字人相比有什么差异？远期数字人的技术迭代规划是什么？</w:t>
            </w:r>
          </w:p>
          <w:p w14:paraId="5DF6605E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数字人具有任务驱动、深度情景化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交互等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特点。市面上的大多数数字人做的是“把文案读出来”，本质是视频制作工具，产出是一段内容。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 xml:space="preserve">Nuwa AI 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做的是“可执行任务的数字员工”，通过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情商脑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 xml:space="preserve"> + 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智商脑的双脑架构，让数字人既能自然表达，又能理解任务、调用系统、完成业务流程。</w:t>
            </w:r>
          </w:p>
          <w:p w14:paraId="4FDBCE7D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技术迭代方面，将围绕公司整体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AI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战略，与云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深度协同：短期夯实产品能力，优化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交互与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AI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生成；中期扩展文旅、教培等六大场景，开放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API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生态和私有化部署能力；长期向“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世界”平台化演进，实现推理与多模态协作。</w:t>
            </w:r>
          </w:p>
          <w:p w14:paraId="3E8D712B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、公司</w:t>
            </w:r>
            <w:proofErr w:type="spellStart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数字人和云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的销售渠道方面是否有协同性？</w:t>
            </w:r>
          </w:p>
          <w:p w14:paraId="533B5DB4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根据公司的业务布局，</w:t>
            </w: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数字人与云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产品在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To B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销售渠道上具有协同性，两个产品面向重合的客户群体与解决相通的数字化转型需求。</w:t>
            </w:r>
          </w:p>
          <w:p w14:paraId="2786AF7D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两者主要客户均为对安全、效率与集中化管理有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强需求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的政府、教育、制造业企业与特定行业机构。例如，在智慧教育场景，学校既需要</w:t>
            </w: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数字人实现智能化教学与客服，也需要云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解决方案来构建集中、可控、安全的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IT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教学环境。面向政企客户，数字人可用于智能办公、政务服务，而云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则是实现数据不落地、统一办公桌面的底层基础设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lastRenderedPageBreak/>
              <w:t>施。</w:t>
            </w:r>
          </w:p>
          <w:p w14:paraId="750713DE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与云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在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To B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市场的渠道上具有协同性，通过瞄准同一客户群的不同层次需求，公司能够以整合方案提升销售效率提供解决方案，构建更深的业务护城河。</w:t>
            </w:r>
          </w:p>
          <w:p w14:paraId="2B92141A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、面对电力行业传统办公形态的堵点，</w:t>
            </w:r>
            <w:proofErr w:type="gramStart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如何赋能电力行业？解决了电力行业哪些痛点？</w:t>
            </w:r>
          </w:p>
          <w:p w14:paraId="1E19E504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针对电力综合办公场景的业务痛点，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技术联合飞腾公司推出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满足信创要求的邦彦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产品及联合解决方案，针对性解决行业难题。</w:t>
            </w:r>
          </w:p>
          <w:p w14:paraId="62738D70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1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）效率低下与工作割裂：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传统双机模式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迫使员工在两台电脑间频繁切换，传文件依赖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U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盘或内部流转，流程繁琐。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允许员工通过一套外设无缝访问内、外网隔离的“计算刀片”，实现一键切换，工作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流自然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连贯，消除了物理切换带来的效率损耗。</w:t>
            </w:r>
          </w:p>
          <w:p w14:paraId="0605EA5E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2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）安全风险与数据泄露：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U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盘使用易导致误操作或病毒植入，居家办公时内网业务停滞。该方案将数据全部存储在机房刀片内，终端零存储，从物理结构上杜绝数据泄露；同时支持远程安全接入，确保移动办公时不中断核心业务。</w:t>
            </w:r>
          </w:p>
          <w:p w14:paraId="2BFCC21C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3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）成本高企与运维复杂：硬件双倍采购、耗电及运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维压力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大。云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将算力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集中池化，减少终端数量，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IT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人员可通过智能管理平台远程维护，运维工作量预计降低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70%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以上，显著节约硬件与人力成本。</w:t>
            </w:r>
          </w:p>
          <w:p w14:paraId="1AAF7B39" w14:textId="6802D2CD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4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信创合规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压力：电力行业需满足</w:t>
            </w:r>
            <w:r w:rsidR="00EF35D6">
              <w:rPr>
                <w:rFonts w:ascii="Times New Roman" w:eastAsia="宋体" w:hAnsi="Times New Roman" w:hint="eastAsia"/>
                <w:sz w:val="24"/>
              </w:rPr>
              <w:t>安全可靠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要求。方案全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栈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采用飞腾国产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CPU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等信创技术，实现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100%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国产替代，将安全从管理提升为结构事实。</w:t>
            </w:r>
          </w:p>
          <w:p w14:paraId="59170562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、面对传统影视传媒行业“桌面办公”普遍存在的共性困局，</w:t>
            </w:r>
            <w:proofErr w:type="gramStart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是否有更好的解决方案？</w:t>
            </w:r>
          </w:p>
          <w:p w14:paraId="63366BF9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近期，深圳某影视行业客户试用公司云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产品，针对影视传媒行业传统桌面办公的共性困局，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PC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基于“云上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lastRenderedPageBreak/>
              <w:t>真机”架构提供了全面、高效的解决方案。</w:t>
            </w:r>
          </w:p>
          <w:p w14:paraId="39D91476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1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）根治性能瓶颈，保障创意流畅：通过为每位用户分配独享的物理计算刀片（无虚拟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化资源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争抢），并结合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GPU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直通与无损编码技术，实现了媲美本地高端工作站的性能。</w:t>
            </w:r>
          </w:p>
          <w:p w14:paraId="57F2C703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2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）构建体系化安全，守护核心资产：将所有素材与工程文件集中存储于数据中心，终端“零数据落地”，仅传输加密画面流。通过精细化外设管控、单向导入策略及操作日志审计，构建“端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-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网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-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云”三级防护体系，从架构层面杜绝了因设备分散、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U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盘拷贝导致的数据泄露风险。</w:t>
            </w:r>
          </w:p>
          <w:p w14:paraId="17C99742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3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实现无缝协同，赋能灵活办公：员工可通过软终端随时随地安全接入专属桌面，支持多屏、数位板等专业外设，操作流畅。打破了地域限制，使跨地域实时审片、现场拍摄与后期制作无缝对接成为可能，显著提升了协作效率。</w:t>
            </w:r>
          </w:p>
          <w:p w14:paraId="2BBC784C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4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）优化资源与管理，降本增效：通过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将算力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资源池化与智能调度，实现了高性能资源的“分时复用”，大幅提升了硬件利用率并降低了能耗。同时，集中化的管理平台支持一键部署与批量运维，将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IT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运维效率提升了数倍，有效降低了总体拥有成本。</w:t>
            </w:r>
          </w:p>
          <w:p w14:paraId="785FD3B9" w14:textId="77777777" w:rsidR="002E26FD" w:rsidRPr="002E26FD" w:rsidRDefault="002E26FD" w:rsidP="002E26FD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、公司</w:t>
            </w:r>
            <w:proofErr w:type="spellStart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数字人是否可以运用在教</w:t>
            </w:r>
            <w:proofErr w:type="gramStart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培</w:t>
            </w:r>
            <w:proofErr w:type="gramEnd"/>
            <w:r w:rsidRPr="002E26FD">
              <w:rPr>
                <w:rFonts w:ascii="Times New Roman" w:eastAsia="宋体" w:hAnsi="Times New Roman" w:hint="eastAsia"/>
                <w:b/>
                <w:bCs/>
                <w:sz w:val="24"/>
              </w:rPr>
              <w:t>行业？是否有好的解决方案？</w:t>
            </w:r>
          </w:p>
          <w:p w14:paraId="0F4A516D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数字人可以用在教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培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行业。近期，公司与深圳龙岗某学校开展合作，运用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与真人开展“人机协同”的教学模式，解放了教师生产力。该方案通过部署“数字人助教”承担标准化知识讲解与高频答疑，使真人教师从重复性劳动中释放，转而聚焦教学设计、个性化辅导等高价值工作，有效破解师资“量质矛盾”。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 xml:space="preserve"> </w:t>
            </w:r>
          </w:p>
          <w:p w14:paraId="312287C2" w14:textId="77777777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数字人支持快速生成与部署，降低数字化门槛，支持通过自然语言描述，在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3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分钟内生成具备特定风格的数字人，并能快速规模化落地，助力机构</w:t>
            </w:r>
            <w:proofErr w:type="gramStart"/>
            <w:r w:rsidRPr="002E26FD">
              <w:rPr>
                <w:rFonts w:ascii="Times New Roman" w:eastAsia="宋体" w:hAnsi="Times New Roman" w:hint="eastAsia"/>
                <w:sz w:val="24"/>
              </w:rPr>
              <w:t>高效实现</w:t>
            </w:r>
            <w:proofErr w:type="gramEnd"/>
            <w:r w:rsidRPr="002E26FD">
              <w:rPr>
                <w:rFonts w:ascii="Times New Roman" w:eastAsia="宋体" w:hAnsi="Times New Roman" w:hint="eastAsia"/>
                <w:sz w:val="24"/>
              </w:rPr>
              <w:t>AI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辅助教学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lastRenderedPageBreak/>
              <w:t>常态化。</w:t>
            </w:r>
          </w:p>
          <w:p w14:paraId="14BEEA0E" w14:textId="7BA54785" w:rsidR="002E26FD" w:rsidRPr="002E26FD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同时，</w:t>
            </w:r>
            <w:r w:rsidR="00163A97">
              <w:rPr>
                <w:rFonts w:ascii="Times New Roman" w:eastAsia="宋体" w:hAnsi="Times New Roman" w:hint="eastAsia"/>
                <w:sz w:val="24"/>
              </w:rPr>
              <w:t>该方案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支持将多种格式教学内容一键解析并结构化存入知识库，快速生成高质量微课、公开课视频，助力机构积累可复用、易分发的标准化数字资源，降低优质内容创作与传播成本。</w:t>
            </w:r>
          </w:p>
          <w:p w14:paraId="038C8043" w14:textId="62D5101D" w:rsidR="00A65DE1" w:rsidRPr="00A65DE1" w:rsidRDefault="002E26FD" w:rsidP="002E26F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2E26FD">
              <w:rPr>
                <w:rFonts w:ascii="Times New Roman" w:eastAsia="宋体" w:hAnsi="Times New Roman" w:hint="eastAsia"/>
                <w:sz w:val="24"/>
              </w:rPr>
              <w:t>综上，</w:t>
            </w:r>
            <w:proofErr w:type="spellStart"/>
            <w:r w:rsidRPr="002E26FD">
              <w:rPr>
                <w:rFonts w:ascii="Times New Roman" w:eastAsia="宋体" w:hAnsi="Times New Roman" w:hint="eastAsia"/>
                <w:sz w:val="24"/>
              </w:rPr>
              <w:t>NuwaAI</w:t>
            </w:r>
            <w:proofErr w:type="spellEnd"/>
            <w:r w:rsidRPr="002E26FD">
              <w:rPr>
                <w:rFonts w:ascii="Times New Roman" w:eastAsia="宋体" w:hAnsi="Times New Roman" w:hint="eastAsia"/>
                <w:sz w:val="24"/>
              </w:rPr>
              <w:t>数字人应用于教培行业，通过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“人机协同、快速部署”</w:t>
            </w:r>
            <w:r w:rsidR="00163A97">
              <w:rPr>
                <w:rFonts w:ascii="Times New Roman" w:eastAsia="宋体" w:hAnsi="Times New Roman" w:hint="eastAsia"/>
                <w:sz w:val="24"/>
              </w:rPr>
              <w:t>的</w:t>
            </w:r>
            <w:r w:rsidRPr="002E26FD">
              <w:rPr>
                <w:rFonts w:ascii="Times New Roman" w:eastAsia="宋体" w:hAnsi="Times New Roman" w:hint="eastAsia"/>
                <w:sz w:val="24"/>
              </w:rPr>
              <w:t>解决方案，系统助力教培行业实现降本增效、质量提升与数字化升级。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98DB" w14:textId="77777777" w:rsidR="007F6D5F" w:rsidRDefault="007F6D5F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74ADC6" w14:textId="77777777" w:rsidR="007F6D5F" w:rsidRDefault="007F6D5F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5994" w14:textId="77777777" w:rsidR="007F6D5F" w:rsidRDefault="007F6D5F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7E52A0" w14:textId="77777777" w:rsidR="007F6D5F" w:rsidRDefault="007F6D5F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1C16"/>
    <w:rsid w:val="0001347F"/>
    <w:rsid w:val="00014E4C"/>
    <w:rsid w:val="00034EB7"/>
    <w:rsid w:val="00034F58"/>
    <w:rsid w:val="00041C64"/>
    <w:rsid w:val="000564DA"/>
    <w:rsid w:val="00056857"/>
    <w:rsid w:val="0005792D"/>
    <w:rsid w:val="000607A5"/>
    <w:rsid w:val="000649EF"/>
    <w:rsid w:val="0006783B"/>
    <w:rsid w:val="00071481"/>
    <w:rsid w:val="00071EF7"/>
    <w:rsid w:val="00073017"/>
    <w:rsid w:val="0007574E"/>
    <w:rsid w:val="000763B0"/>
    <w:rsid w:val="00081328"/>
    <w:rsid w:val="00083F98"/>
    <w:rsid w:val="00090923"/>
    <w:rsid w:val="00095753"/>
    <w:rsid w:val="000976CB"/>
    <w:rsid w:val="000A05E2"/>
    <w:rsid w:val="000A5AD6"/>
    <w:rsid w:val="000A6119"/>
    <w:rsid w:val="000A637C"/>
    <w:rsid w:val="000A6859"/>
    <w:rsid w:val="000B3393"/>
    <w:rsid w:val="000B44E7"/>
    <w:rsid w:val="000B5FDD"/>
    <w:rsid w:val="000C0DD1"/>
    <w:rsid w:val="000C25B1"/>
    <w:rsid w:val="000C4D4C"/>
    <w:rsid w:val="000D2696"/>
    <w:rsid w:val="000D4C59"/>
    <w:rsid w:val="000D63FA"/>
    <w:rsid w:val="000D7C53"/>
    <w:rsid w:val="000E202B"/>
    <w:rsid w:val="000E266D"/>
    <w:rsid w:val="000F12D2"/>
    <w:rsid w:val="000F2BA6"/>
    <w:rsid w:val="000F7DF6"/>
    <w:rsid w:val="0010088B"/>
    <w:rsid w:val="00104691"/>
    <w:rsid w:val="00104EC7"/>
    <w:rsid w:val="00110457"/>
    <w:rsid w:val="00110B1E"/>
    <w:rsid w:val="00111F9F"/>
    <w:rsid w:val="00112AAB"/>
    <w:rsid w:val="001166F5"/>
    <w:rsid w:val="001172E0"/>
    <w:rsid w:val="0012026B"/>
    <w:rsid w:val="001202E5"/>
    <w:rsid w:val="00130B22"/>
    <w:rsid w:val="00131915"/>
    <w:rsid w:val="0014109F"/>
    <w:rsid w:val="0014432E"/>
    <w:rsid w:val="00150FD7"/>
    <w:rsid w:val="0015626E"/>
    <w:rsid w:val="00156B92"/>
    <w:rsid w:val="0016174C"/>
    <w:rsid w:val="00163A97"/>
    <w:rsid w:val="001654A3"/>
    <w:rsid w:val="0016694B"/>
    <w:rsid w:val="0017046D"/>
    <w:rsid w:val="0017059D"/>
    <w:rsid w:val="00170B77"/>
    <w:rsid w:val="00172841"/>
    <w:rsid w:val="00175868"/>
    <w:rsid w:val="00184F25"/>
    <w:rsid w:val="001859E9"/>
    <w:rsid w:val="00195686"/>
    <w:rsid w:val="0019669C"/>
    <w:rsid w:val="001A2948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B5C"/>
    <w:rsid w:val="001E55DC"/>
    <w:rsid w:val="001F2AEB"/>
    <w:rsid w:val="001F54C9"/>
    <w:rsid w:val="001F72D0"/>
    <w:rsid w:val="00204EEF"/>
    <w:rsid w:val="00205BF8"/>
    <w:rsid w:val="002069C0"/>
    <w:rsid w:val="00216460"/>
    <w:rsid w:val="00233018"/>
    <w:rsid w:val="00233B68"/>
    <w:rsid w:val="00233DB8"/>
    <w:rsid w:val="00240473"/>
    <w:rsid w:val="002423CF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96575"/>
    <w:rsid w:val="002A0299"/>
    <w:rsid w:val="002A3377"/>
    <w:rsid w:val="002A3989"/>
    <w:rsid w:val="002A7E9E"/>
    <w:rsid w:val="002B4837"/>
    <w:rsid w:val="002C3E62"/>
    <w:rsid w:val="002C61E3"/>
    <w:rsid w:val="002D6770"/>
    <w:rsid w:val="002D7345"/>
    <w:rsid w:val="002E26FD"/>
    <w:rsid w:val="002E3C7A"/>
    <w:rsid w:val="002E3C89"/>
    <w:rsid w:val="002E3D61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4AB9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3B68"/>
    <w:rsid w:val="00366772"/>
    <w:rsid w:val="0037040C"/>
    <w:rsid w:val="00370957"/>
    <w:rsid w:val="00371EC3"/>
    <w:rsid w:val="00382F1D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6669"/>
    <w:rsid w:val="003A7B27"/>
    <w:rsid w:val="003B1EB8"/>
    <w:rsid w:val="003B1F97"/>
    <w:rsid w:val="003B530E"/>
    <w:rsid w:val="003C1BD2"/>
    <w:rsid w:val="003C34C6"/>
    <w:rsid w:val="003C5CEA"/>
    <w:rsid w:val="003D2AAF"/>
    <w:rsid w:val="003D3600"/>
    <w:rsid w:val="003D44D1"/>
    <w:rsid w:val="003D4767"/>
    <w:rsid w:val="003D6B85"/>
    <w:rsid w:val="003D7222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050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67DDC"/>
    <w:rsid w:val="004742B2"/>
    <w:rsid w:val="004763D4"/>
    <w:rsid w:val="00477444"/>
    <w:rsid w:val="004834A7"/>
    <w:rsid w:val="00485B17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E09FF"/>
    <w:rsid w:val="004E322C"/>
    <w:rsid w:val="004E48A0"/>
    <w:rsid w:val="004E7784"/>
    <w:rsid w:val="004F2DAC"/>
    <w:rsid w:val="004F329B"/>
    <w:rsid w:val="004F7648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8741C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902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778"/>
    <w:rsid w:val="00622FD5"/>
    <w:rsid w:val="0062393C"/>
    <w:rsid w:val="00624991"/>
    <w:rsid w:val="00624BD1"/>
    <w:rsid w:val="0062690A"/>
    <w:rsid w:val="00627837"/>
    <w:rsid w:val="00631CF1"/>
    <w:rsid w:val="006374BF"/>
    <w:rsid w:val="006406CB"/>
    <w:rsid w:val="00651ADD"/>
    <w:rsid w:val="00661E30"/>
    <w:rsid w:val="00672CB6"/>
    <w:rsid w:val="00675E7F"/>
    <w:rsid w:val="00676633"/>
    <w:rsid w:val="00676C7A"/>
    <w:rsid w:val="00682A81"/>
    <w:rsid w:val="00690475"/>
    <w:rsid w:val="00694B59"/>
    <w:rsid w:val="006978FB"/>
    <w:rsid w:val="006A5711"/>
    <w:rsid w:val="006B0BCE"/>
    <w:rsid w:val="006B176C"/>
    <w:rsid w:val="006B390F"/>
    <w:rsid w:val="006B59FA"/>
    <w:rsid w:val="006C1E0F"/>
    <w:rsid w:val="006C3F97"/>
    <w:rsid w:val="006D4F09"/>
    <w:rsid w:val="006D7CB0"/>
    <w:rsid w:val="006E01B5"/>
    <w:rsid w:val="006E3F28"/>
    <w:rsid w:val="006F7740"/>
    <w:rsid w:val="007019CF"/>
    <w:rsid w:val="007046C0"/>
    <w:rsid w:val="00710B8E"/>
    <w:rsid w:val="00712A27"/>
    <w:rsid w:val="00715545"/>
    <w:rsid w:val="00715ECE"/>
    <w:rsid w:val="00731324"/>
    <w:rsid w:val="0073203D"/>
    <w:rsid w:val="007333FA"/>
    <w:rsid w:val="00743AAA"/>
    <w:rsid w:val="00744FCB"/>
    <w:rsid w:val="007453E3"/>
    <w:rsid w:val="0074767A"/>
    <w:rsid w:val="007529EF"/>
    <w:rsid w:val="00761D26"/>
    <w:rsid w:val="00761FC7"/>
    <w:rsid w:val="007656F2"/>
    <w:rsid w:val="00765DA3"/>
    <w:rsid w:val="007708C6"/>
    <w:rsid w:val="00777D0E"/>
    <w:rsid w:val="00780DD1"/>
    <w:rsid w:val="00782A59"/>
    <w:rsid w:val="0079083B"/>
    <w:rsid w:val="00790EE2"/>
    <w:rsid w:val="0079487F"/>
    <w:rsid w:val="00795077"/>
    <w:rsid w:val="00796A66"/>
    <w:rsid w:val="007A2793"/>
    <w:rsid w:val="007B0FC4"/>
    <w:rsid w:val="007B1752"/>
    <w:rsid w:val="007B3E81"/>
    <w:rsid w:val="007C39A7"/>
    <w:rsid w:val="007C714E"/>
    <w:rsid w:val="007C7E30"/>
    <w:rsid w:val="007D24B6"/>
    <w:rsid w:val="007D40F0"/>
    <w:rsid w:val="007E5720"/>
    <w:rsid w:val="007E74E1"/>
    <w:rsid w:val="007F27E6"/>
    <w:rsid w:val="007F4CD6"/>
    <w:rsid w:val="007F5C97"/>
    <w:rsid w:val="007F6D5F"/>
    <w:rsid w:val="007F709F"/>
    <w:rsid w:val="008026E3"/>
    <w:rsid w:val="00805549"/>
    <w:rsid w:val="0081196D"/>
    <w:rsid w:val="008172A7"/>
    <w:rsid w:val="00821F16"/>
    <w:rsid w:val="00824971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007F"/>
    <w:rsid w:val="0090113A"/>
    <w:rsid w:val="0090463E"/>
    <w:rsid w:val="00910CC9"/>
    <w:rsid w:val="00910DB4"/>
    <w:rsid w:val="00917220"/>
    <w:rsid w:val="009223C0"/>
    <w:rsid w:val="00922481"/>
    <w:rsid w:val="009248FF"/>
    <w:rsid w:val="00931B4E"/>
    <w:rsid w:val="009379B3"/>
    <w:rsid w:val="009407B0"/>
    <w:rsid w:val="009418CC"/>
    <w:rsid w:val="00941AA1"/>
    <w:rsid w:val="00942739"/>
    <w:rsid w:val="00950A3B"/>
    <w:rsid w:val="00950B12"/>
    <w:rsid w:val="009546A6"/>
    <w:rsid w:val="009561A9"/>
    <w:rsid w:val="0096031B"/>
    <w:rsid w:val="009607BB"/>
    <w:rsid w:val="00970624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2BEB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54CD"/>
    <w:rsid w:val="00A36B63"/>
    <w:rsid w:val="00A4111B"/>
    <w:rsid w:val="00A41F0E"/>
    <w:rsid w:val="00A426B0"/>
    <w:rsid w:val="00A46131"/>
    <w:rsid w:val="00A46E81"/>
    <w:rsid w:val="00A56366"/>
    <w:rsid w:val="00A56619"/>
    <w:rsid w:val="00A6306A"/>
    <w:rsid w:val="00A6352B"/>
    <w:rsid w:val="00A65DE1"/>
    <w:rsid w:val="00A73BD8"/>
    <w:rsid w:val="00A764AC"/>
    <w:rsid w:val="00A76AA7"/>
    <w:rsid w:val="00A827B1"/>
    <w:rsid w:val="00A848E2"/>
    <w:rsid w:val="00A87EE8"/>
    <w:rsid w:val="00A94320"/>
    <w:rsid w:val="00AA2AFB"/>
    <w:rsid w:val="00AA4C36"/>
    <w:rsid w:val="00AA6E8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0AE4"/>
    <w:rsid w:val="00AE163E"/>
    <w:rsid w:val="00AE3A6A"/>
    <w:rsid w:val="00AE4264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0394"/>
    <w:rsid w:val="00B37C29"/>
    <w:rsid w:val="00B42FDA"/>
    <w:rsid w:val="00B43339"/>
    <w:rsid w:val="00B45DF6"/>
    <w:rsid w:val="00B45E1E"/>
    <w:rsid w:val="00B468B4"/>
    <w:rsid w:val="00B500A1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468C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B4791"/>
    <w:rsid w:val="00BC0733"/>
    <w:rsid w:val="00BC4F7E"/>
    <w:rsid w:val="00BC6A2E"/>
    <w:rsid w:val="00BC7D9D"/>
    <w:rsid w:val="00BD35B7"/>
    <w:rsid w:val="00BD4BED"/>
    <w:rsid w:val="00BD4E82"/>
    <w:rsid w:val="00BD6E9E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34BEA"/>
    <w:rsid w:val="00C4056B"/>
    <w:rsid w:val="00C41154"/>
    <w:rsid w:val="00C42781"/>
    <w:rsid w:val="00C44C13"/>
    <w:rsid w:val="00C524FA"/>
    <w:rsid w:val="00C53FC6"/>
    <w:rsid w:val="00C5502F"/>
    <w:rsid w:val="00C55905"/>
    <w:rsid w:val="00C55ECA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1B4F"/>
    <w:rsid w:val="00CE521B"/>
    <w:rsid w:val="00CE75D0"/>
    <w:rsid w:val="00CF1A28"/>
    <w:rsid w:val="00CF3B95"/>
    <w:rsid w:val="00D008A9"/>
    <w:rsid w:val="00D0476C"/>
    <w:rsid w:val="00D06471"/>
    <w:rsid w:val="00D06E53"/>
    <w:rsid w:val="00D116B0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1767"/>
    <w:rsid w:val="00D520F1"/>
    <w:rsid w:val="00D543F1"/>
    <w:rsid w:val="00D5519E"/>
    <w:rsid w:val="00D55E7D"/>
    <w:rsid w:val="00D60DB1"/>
    <w:rsid w:val="00D6676B"/>
    <w:rsid w:val="00D712C0"/>
    <w:rsid w:val="00D82D37"/>
    <w:rsid w:val="00D8440B"/>
    <w:rsid w:val="00D858A6"/>
    <w:rsid w:val="00D87DDE"/>
    <w:rsid w:val="00D947B9"/>
    <w:rsid w:val="00DA0F32"/>
    <w:rsid w:val="00DA26EB"/>
    <w:rsid w:val="00DA4DA9"/>
    <w:rsid w:val="00DA5840"/>
    <w:rsid w:val="00DA684D"/>
    <w:rsid w:val="00DB06D5"/>
    <w:rsid w:val="00DB1BF8"/>
    <w:rsid w:val="00DB4FAA"/>
    <w:rsid w:val="00DC1E4B"/>
    <w:rsid w:val="00DC2663"/>
    <w:rsid w:val="00DC2E74"/>
    <w:rsid w:val="00DD063B"/>
    <w:rsid w:val="00DD21EE"/>
    <w:rsid w:val="00DE1873"/>
    <w:rsid w:val="00DE1A4E"/>
    <w:rsid w:val="00DE5327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58C5"/>
    <w:rsid w:val="00E66B80"/>
    <w:rsid w:val="00E72439"/>
    <w:rsid w:val="00E72FF4"/>
    <w:rsid w:val="00E73583"/>
    <w:rsid w:val="00E75823"/>
    <w:rsid w:val="00E77FE7"/>
    <w:rsid w:val="00E821B0"/>
    <w:rsid w:val="00E90E6C"/>
    <w:rsid w:val="00EA12B8"/>
    <w:rsid w:val="00EA2EA1"/>
    <w:rsid w:val="00EA4EA9"/>
    <w:rsid w:val="00EA571B"/>
    <w:rsid w:val="00EB697F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35D6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141D"/>
    <w:rsid w:val="00F53D4B"/>
    <w:rsid w:val="00F603F7"/>
    <w:rsid w:val="00F60D48"/>
    <w:rsid w:val="00F60E25"/>
    <w:rsid w:val="00F67195"/>
    <w:rsid w:val="00F82B62"/>
    <w:rsid w:val="00F8480D"/>
    <w:rsid w:val="00F86628"/>
    <w:rsid w:val="00F9199D"/>
    <w:rsid w:val="00F926CC"/>
    <w:rsid w:val="00F94D22"/>
    <w:rsid w:val="00F950B0"/>
    <w:rsid w:val="00FB003C"/>
    <w:rsid w:val="00FB1FDD"/>
    <w:rsid w:val="00FB22B3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E3A38"/>
    <w:rsid w:val="00FF1F2C"/>
    <w:rsid w:val="00FF43FE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5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107</cp:revision>
  <cp:lastPrinted>2026-01-12T10:50:00Z</cp:lastPrinted>
  <dcterms:created xsi:type="dcterms:W3CDTF">2025-07-15T10:39:00Z</dcterms:created>
  <dcterms:modified xsi:type="dcterms:W3CDTF">2026-01-21T09:00:00Z</dcterms:modified>
</cp:coreProperties>
</file>