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1CA86" w14:textId="77777777" w:rsidR="00E57010" w:rsidRDefault="00293A9D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证券代码：</w:t>
      </w:r>
      <w:r>
        <w:rPr>
          <w:rFonts w:ascii="宋体" w:hAnsi="宋体"/>
          <w:b/>
          <w:szCs w:val="21"/>
        </w:rPr>
        <w:t>688767</w:t>
      </w:r>
      <w:r>
        <w:rPr>
          <w:rFonts w:ascii="宋体" w:hAnsi="宋体" w:hint="eastAsia"/>
          <w:b/>
          <w:szCs w:val="21"/>
        </w:rPr>
        <w:t xml:space="preserve">                      </w:t>
      </w:r>
      <w:r>
        <w:rPr>
          <w:rFonts w:ascii="宋体" w:hAnsi="宋体"/>
          <w:b/>
          <w:szCs w:val="21"/>
        </w:rPr>
        <w:t xml:space="preserve">                      </w:t>
      </w:r>
      <w:r>
        <w:rPr>
          <w:rFonts w:ascii="宋体" w:hAnsi="宋体" w:hint="eastAsia"/>
          <w:b/>
          <w:szCs w:val="21"/>
        </w:rPr>
        <w:t>公司简称：</w:t>
      </w:r>
      <w:proofErr w:type="gramStart"/>
      <w:r>
        <w:rPr>
          <w:rFonts w:ascii="宋体" w:hAnsi="宋体"/>
          <w:b/>
          <w:szCs w:val="21"/>
        </w:rPr>
        <w:t>博拓生物</w:t>
      </w:r>
      <w:proofErr w:type="gramEnd"/>
    </w:p>
    <w:p w14:paraId="7BDE482A" w14:textId="77777777" w:rsidR="00E57010" w:rsidRDefault="00293A9D">
      <w:pPr>
        <w:spacing w:beforeLines="100" w:before="312"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杭州博拓生物科技股份有限公司</w:t>
      </w:r>
    </w:p>
    <w:p w14:paraId="2BC9D00D" w14:textId="77777777" w:rsidR="00E57010" w:rsidRDefault="00293A9D">
      <w:pPr>
        <w:spacing w:afterLines="50" w:after="156"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投资者关系活动记录表</w:t>
      </w:r>
    </w:p>
    <w:p w14:paraId="3F8D0E61" w14:textId="77777777" w:rsidR="00E57010" w:rsidRDefault="00293A9D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编号：2</w:t>
      </w:r>
      <w:r>
        <w:rPr>
          <w:rFonts w:ascii="宋体" w:hAnsi="宋体"/>
          <w:b/>
          <w:szCs w:val="21"/>
        </w:rPr>
        <w:t>026-001</w:t>
      </w:r>
    </w:p>
    <w:tbl>
      <w:tblPr>
        <w:tblW w:w="47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6715"/>
      </w:tblGrid>
      <w:tr w:rsidR="00E57010" w14:paraId="547E422E" w14:textId="77777777">
        <w:trPr>
          <w:trHeight w:val="838"/>
          <w:jc w:val="center"/>
        </w:trPr>
        <w:tc>
          <w:tcPr>
            <w:tcW w:w="1229" w:type="dxa"/>
            <w:vAlign w:val="center"/>
          </w:tcPr>
          <w:p w14:paraId="29152B18" w14:textId="77777777" w:rsidR="00E57010" w:rsidRDefault="00293A9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716" w:type="dxa"/>
            <w:vAlign w:val="center"/>
          </w:tcPr>
          <w:p w14:paraId="702F6EA9" w14:textId="77777777" w:rsidR="00E57010" w:rsidRDefault="00293A9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BC88634" w14:textId="77777777" w:rsidR="00E57010" w:rsidRDefault="00293A9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14B59C1" w14:textId="77777777" w:rsidR="00E57010" w:rsidRDefault="00293A9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0E6E4053" w14:textId="77777777" w:rsidR="00E57010" w:rsidRDefault="00293A9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494D3014" w14:textId="77777777" w:rsidR="00E57010" w:rsidRDefault="00293A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E57010" w14:paraId="6BFBFA41" w14:textId="77777777">
        <w:trPr>
          <w:trHeight w:val="838"/>
          <w:jc w:val="center"/>
        </w:trPr>
        <w:tc>
          <w:tcPr>
            <w:tcW w:w="1229" w:type="dxa"/>
            <w:vAlign w:val="center"/>
          </w:tcPr>
          <w:p w14:paraId="31008968" w14:textId="77777777" w:rsidR="00E57010" w:rsidRDefault="00293A9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716" w:type="dxa"/>
            <w:vAlign w:val="center"/>
          </w:tcPr>
          <w:p w14:paraId="78118D7A" w14:textId="5D0348D5" w:rsidR="00E57010" w:rsidRDefault="00293A9D" w:rsidP="00674360">
            <w:pPr>
              <w:spacing w:line="36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证券时报、华创证券、</w:t>
            </w:r>
            <w:r w:rsidR="0067436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东吴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证券、红骅投资、巨子投资、稻沣投资、敦和资管、物产中大、大筝资管、善正资产、银华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基金、金信基金、泽铭投资、泾溪投资、国新国证基金、宏利基金、人寿养老保险、工银瑞信基金、沣沛投资、兴银基金、安信基金、易鑫安资管、中邮理财、平安资管、国新证券、浙商资管、博远基金、方物基金、华鑫信托、泓铭资本、中银基金、正御私募基金、建信养老金管理、中信期货、泰信基金、翼虎投资、上银基金、环懿投资、上海证券、睿华资管、中国人民养老保险、健顺投资、中泰证券、鹏华基金、古曲私募、博时基金、弘洛资本、招商证券、泰康资产、广金投资、国泰基金、宁银理财、东方红证券资管、国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联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民生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证券、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中欧基金、农银汇理、汇添富基金、华泰资产、兴业基金、恒越基金、交行施罗德基金、浦银安盛基金、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申万宏源证券、富国基金、永赢基金、申万菱信基金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、华安证券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、招商基金、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信达澳银、禾永投资、</w:t>
            </w:r>
            <w:r w:rsidR="00DE669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九泰基金、中融基金、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贝溢</w:t>
            </w:r>
            <w:r w:rsidR="00DE669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、天弘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基金、宝盈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太朴生命科学投资、弘毅投资、国泰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海通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证券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、兴全基金、银河基金、国寿养老、中邮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财通基金、长安基金、泰康基金、韩国投信、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东方基金、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泓德基金、清池资本、中庚基金、大朴资产、创金合信基金、华宝证券、渤海人寿、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高毅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资产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中信保诚基金、广发证券、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华夏基金、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人保养老、太平养老、中金资管、中信证券资管、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摩根基金、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凯石基金、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兴业证券、天风证券</w:t>
            </w:r>
            <w:r w:rsidR="00DE669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、华泰保兴基金、奇盛基金、博衍基金、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慎知资产、和谐汇一、海创基金、混沌投资、草本投资、小草资本、从容投资、华鑫证券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、方正证券</w:t>
            </w:r>
          </w:p>
        </w:tc>
      </w:tr>
      <w:tr w:rsidR="00E57010" w14:paraId="0CF14448" w14:textId="77777777">
        <w:trPr>
          <w:trHeight w:val="799"/>
          <w:jc w:val="center"/>
        </w:trPr>
        <w:tc>
          <w:tcPr>
            <w:tcW w:w="1229" w:type="dxa"/>
            <w:vAlign w:val="center"/>
          </w:tcPr>
          <w:p w14:paraId="53B34C01" w14:textId="77777777" w:rsidR="00E57010" w:rsidRDefault="00293A9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716" w:type="dxa"/>
            <w:vAlign w:val="center"/>
          </w:tcPr>
          <w:p w14:paraId="446CB244" w14:textId="77777777" w:rsidR="00E57010" w:rsidRDefault="00293A9D">
            <w:pPr>
              <w:rPr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2026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月7日-1月2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E57010" w14:paraId="178EE508" w14:textId="77777777">
        <w:trPr>
          <w:trHeight w:val="838"/>
          <w:jc w:val="center"/>
        </w:trPr>
        <w:tc>
          <w:tcPr>
            <w:tcW w:w="1229" w:type="dxa"/>
            <w:vAlign w:val="center"/>
          </w:tcPr>
          <w:p w14:paraId="71479F14" w14:textId="77777777" w:rsidR="00E57010" w:rsidRDefault="00293A9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716" w:type="dxa"/>
            <w:vAlign w:val="center"/>
          </w:tcPr>
          <w:p w14:paraId="3D9DEA3C" w14:textId="77777777" w:rsidR="00E57010" w:rsidRDefault="00293A9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现场、</w:t>
            </w:r>
            <w:r>
              <w:rPr>
                <w:rFonts w:ascii="宋体" w:hAnsi="宋体"/>
                <w:bCs/>
                <w:sz w:val="24"/>
              </w:rPr>
              <w:t>线上</w:t>
            </w:r>
          </w:p>
        </w:tc>
      </w:tr>
      <w:tr w:rsidR="00E57010" w14:paraId="77FDE7C1" w14:textId="77777777">
        <w:trPr>
          <w:trHeight w:val="838"/>
          <w:jc w:val="center"/>
        </w:trPr>
        <w:tc>
          <w:tcPr>
            <w:tcW w:w="1229" w:type="dxa"/>
            <w:vAlign w:val="center"/>
          </w:tcPr>
          <w:p w14:paraId="02C9444D" w14:textId="77777777" w:rsidR="00E57010" w:rsidRDefault="00293A9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6716" w:type="dxa"/>
            <w:vAlign w:val="center"/>
          </w:tcPr>
          <w:p w14:paraId="2D7F4E57" w14:textId="77777777" w:rsidR="00A8417C" w:rsidRDefault="00293A9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费其俊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；证券</w:t>
            </w:r>
            <w:r>
              <w:rPr>
                <w:rFonts w:ascii="宋体" w:hAnsi="宋体" w:cs="宋体"/>
                <w:sz w:val="24"/>
                <w:szCs w:val="24"/>
              </w:rPr>
              <w:t>事务代表</w:t>
            </w:r>
            <w:r>
              <w:rPr>
                <w:rFonts w:ascii="宋体" w:hAnsi="宋体" w:cs="宋体" w:hint="eastAsia"/>
                <w:sz w:val="24"/>
                <w:szCs w:val="24"/>
              </w:rPr>
              <w:t>：黄</w:t>
            </w:r>
            <w:r>
              <w:rPr>
                <w:rFonts w:ascii="宋体" w:hAnsi="宋体" w:cs="宋体"/>
                <w:sz w:val="24"/>
                <w:szCs w:val="24"/>
              </w:rPr>
              <w:t>聿峰</w:t>
            </w:r>
            <w:r w:rsidR="00A8417C"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14:paraId="6F9CEF0B" w14:textId="4D7ACC34" w:rsidR="00E57010" w:rsidRDefault="00A8417C" w:rsidP="009D52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皓世天</w:t>
            </w:r>
            <w:r>
              <w:rPr>
                <w:rFonts w:ascii="宋体" w:hAnsi="宋体" w:cs="宋体" w:hint="eastAsia"/>
                <w:sz w:val="24"/>
                <w:szCs w:val="24"/>
              </w:rPr>
              <w:t>辉</w:t>
            </w:r>
            <w:r>
              <w:rPr>
                <w:rFonts w:ascii="宋体" w:hAnsi="宋体" w:cs="宋体"/>
                <w:sz w:val="24"/>
                <w:szCs w:val="24"/>
              </w:rPr>
              <w:t>市场总监：林若飞</w:t>
            </w:r>
          </w:p>
        </w:tc>
      </w:tr>
      <w:tr w:rsidR="00E57010" w14:paraId="318D7BE4" w14:textId="77777777">
        <w:trPr>
          <w:trHeight w:val="557"/>
          <w:jc w:val="center"/>
        </w:trPr>
        <w:tc>
          <w:tcPr>
            <w:tcW w:w="1229" w:type="dxa"/>
            <w:vAlign w:val="center"/>
          </w:tcPr>
          <w:p w14:paraId="5DEF00FA" w14:textId="77777777" w:rsidR="00E57010" w:rsidRDefault="00293A9D">
            <w:pPr>
              <w:spacing w:beforeLines="25" w:before="78" w:afterLines="25" w:after="7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16" w:type="dxa"/>
          </w:tcPr>
          <w:p w14:paraId="65559738" w14:textId="77777777" w:rsidR="00E57010" w:rsidRDefault="00293A9D">
            <w:pPr>
              <w:spacing w:line="360" w:lineRule="exact"/>
              <w:ind w:firstLineChars="200" w:firstLine="422"/>
              <w:rPr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一、公司情况简要介绍</w:t>
            </w:r>
          </w:p>
          <w:p w14:paraId="1515C381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公司长期专注于</w:t>
            </w:r>
            <w:proofErr w:type="spellStart"/>
            <w:r>
              <w:rPr>
                <w:rFonts w:ascii="宋体" w:hint="eastAsia"/>
                <w:bCs/>
                <w:szCs w:val="21"/>
              </w:rPr>
              <w:t>POCT</w:t>
            </w:r>
            <w:proofErr w:type="spellEnd"/>
            <w:r>
              <w:rPr>
                <w:rFonts w:ascii="宋体" w:hint="eastAsia"/>
                <w:bCs/>
                <w:szCs w:val="21"/>
              </w:rPr>
              <w:t>试剂及仪器的研发、生产与销售，致力于即时检测领域的深度创新与全球化发展，构建了覆盖诊断试剂、智能仪器及核心生物原料的全产业链体系。公司产品包括药物滥用检测、传染病检测、生殖健康检测、肿瘤标志物检测、心脏标志物检测等产品系列，其中药物滥用检测和传染病检测产品为公司的主导产品系列。公司现已拥有600余个经国内、国际机构认证的快速检测产品组合，产品特异性、灵敏度等关键性能指标均达到行业先进水平，业务范围遍及全球多个国家和地区，其中海外业务销售占比达75%左右。</w:t>
            </w:r>
          </w:p>
          <w:p w14:paraId="58B84570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公司已发展了多个重要技术平台，包括生物核心原料技术平台、</w:t>
            </w:r>
            <w:proofErr w:type="spellStart"/>
            <w:r>
              <w:rPr>
                <w:rFonts w:ascii="宋体" w:hint="eastAsia"/>
                <w:bCs/>
                <w:szCs w:val="21"/>
              </w:rPr>
              <w:t>POCT</w:t>
            </w:r>
            <w:proofErr w:type="spellEnd"/>
            <w:r>
              <w:rPr>
                <w:rFonts w:ascii="宋体" w:hint="eastAsia"/>
                <w:bCs/>
                <w:szCs w:val="21"/>
              </w:rPr>
              <w:t>应用技术平台、</w:t>
            </w:r>
            <w:proofErr w:type="gramStart"/>
            <w:r>
              <w:rPr>
                <w:rFonts w:ascii="宋体" w:hint="eastAsia"/>
                <w:bCs/>
                <w:szCs w:val="21"/>
              </w:rPr>
              <w:t>微流控</w:t>
            </w:r>
            <w:proofErr w:type="gramEnd"/>
            <w:r>
              <w:rPr>
                <w:rFonts w:ascii="宋体" w:hint="eastAsia"/>
                <w:bCs/>
                <w:szCs w:val="21"/>
              </w:rPr>
              <w:t>新技术平台、分子诊断检测平台、动物疾病检测平台等。公司高度重视生物原料的开发，努力从源头实现原料的自我供给，目前在药物滥用检测原料上，已实现超80%的原料自我供给。</w:t>
            </w:r>
            <w:proofErr w:type="spellStart"/>
            <w:r>
              <w:rPr>
                <w:rFonts w:ascii="宋体" w:hint="eastAsia"/>
                <w:bCs/>
                <w:szCs w:val="21"/>
              </w:rPr>
              <w:t>POCT</w:t>
            </w:r>
            <w:proofErr w:type="spellEnd"/>
            <w:r>
              <w:rPr>
                <w:rFonts w:ascii="宋体" w:hint="eastAsia"/>
                <w:bCs/>
                <w:szCs w:val="21"/>
              </w:rPr>
              <w:t>应用技术平台的主动</w:t>
            </w:r>
            <w:proofErr w:type="gramStart"/>
            <w:r>
              <w:rPr>
                <w:rFonts w:ascii="宋体" w:hint="eastAsia"/>
                <w:bCs/>
                <w:szCs w:val="21"/>
              </w:rPr>
              <w:t>式微流控荧光</w:t>
            </w:r>
            <w:proofErr w:type="gramEnd"/>
            <w:r>
              <w:rPr>
                <w:rFonts w:ascii="宋体" w:hint="eastAsia"/>
                <w:bCs/>
                <w:szCs w:val="21"/>
              </w:rPr>
              <w:t>检测技术也有了实质性突破，公司在第一代基于新技术平台研发的微流控技术原型机的基础上，已经成功研发了心肌五项联合检测试剂，能够在数分钟之内得到检测结果，极大缩短了TAT时间。</w:t>
            </w:r>
          </w:p>
          <w:p w14:paraId="7359F0F8" w14:textId="77777777" w:rsidR="00E57010" w:rsidRDefault="00293A9D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二、问答环节主要内容</w:t>
            </w:r>
          </w:p>
          <w:p w14:paraId="52D2976C" w14:textId="77777777" w:rsidR="00E57010" w:rsidRDefault="00293A9D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、公司2</w:t>
            </w:r>
            <w:r>
              <w:rPr>
                <w:rFonts w:ascii="宋体" w:hAnsi="宋体"/>
                <w:b/>
              </w:rPr>
              <w:t>025</w:t>
            </w:r>
            <w:r>
              <w:rPr>
                <w:rFonts w:ascii="宋体" w:hAnsi="宋体" w:hint="eastAsia"/>
                <w:b/>
              </w:rPr>
              <w:t>年度经营</w:t>
            </w:r>
            <w:r>
              <w:rPr>
                <w:rFonts w:ascii="宋体" w:hAnsi="宋体"/>
                <w:b/>
              </w:rPr>
              <w:t>情况怎样</w:t>
            </w:r>
            <w:r>
              <w:rPr>
                <w:rFonts w:ascii="宋体" w:hAnsi="宋体" w:hint="eastAsia"/>
                <w:b/>
              </w:rPr>
              <w:t>？2026年预期如何</w:t>
            </w:r>
            <w:r>
              <w:rPr>
                <w:rFonts w:ascii="宋体" w:hAnsi="宋体"/>
                <w:b/>
              </w:rPr>
              <w:t>？</w:t>
            </w:r>
          </w:p>
          <w:p w14:paraId="32539B00" w14:textId="77777777" w:rsidR="00E57010" w:rsidRDefault="00293A9D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答：公司主业专注于</w:t>
            </w:r>
            <w:proofErr w:type="spellStart"/>
            <w:r>
              <w:rPr>
                <w:rFonts w:ascii="宋体" w:hAnsi="宋体" w:hint="eastAsia"/>
              </w:rPr>
              <w:t>POCT</w:t>
            </w:r>
            <w:proofErr w:type="spellEnd"/>
            <w:r>
              <w:rPr>
                <w:rFonts w:ascii="宋体" w:hAnsi="宋体" w:hint="eastAsia"/>
              </w:rPr>
              <w:t>试剂及仪器的研发、生产与销售，产品包括药物滥用检测、传染病检测、生殖健康检测、肿瘤标志物检测、心脏标志物检测等系列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其中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>药物滥用检测和传染病检测产品约</w:t>
            </w:r>
            <w:r>
              <w:rPr>
                <w:rFonts w:ascii="宋体" w:hAnsi="宋体"/>
              </w:rPr>
              <w:t>占公司</w:t>
            </w:r>
            <w:r>
              <w:rPr>
                <w:rFonts w:ascii="宋体" w:hAnsi="宋体" w:hint="eastAsia"/>
              </w:rPr>
              <w:t>营收</w:t>
            </w:r>
            <w:r>
              <w:rPr>
                <w:rFonts w:ascii="宋体" w:hAnsi="宋体"/>
              </w:rPr>
              <w:t>的</w:t>
            </w:r>
            <w:r>
              <w:rPr>
                <w:rFonts w:ascii="宋体" w:hAnsi="宋体" w:hint="eastAsia"/>
              </w:rPr>
              <w:t>80%。</w:t>
            </w:r>
            <w:r>
              <w:rPr>
                <w:rFonts w:ascii="宋体" w:hAnsi="宋体"/>
              </w:rPr>
              <w:t>公司以</w:t>
            </w:r>
            <w:r>
              <w:rPr>
                <w:rFonts w:ascii="宋体" w:hAnsi="宋体" w:hint="eastAsia"/>
              </w:rPr>
              <w:t>海外销售</w:t>
            </w:r>
            <w:r>
              <w:rPr>
                <w:rFonts w:ascii="宋体" w:hAnsi="宋体"/>
              </w:rPr>
              <w:t>为主</w:t>
            </w:r>
            <w:r>
              <w:rPr>
                <w:rFonts w:ascii="宋体" w:hAnsi="宋体" w:hint="eastAsia"/>
              </w:rPr>
              <w:t>，外销对营收</w:t>
            </w:r>
            <w:r>
              <w:rPr>
                <w:rFonts w:ascii="宋体" w:hAnsi="宋体"/>
              </w:rPr>
              <w:t>贡献率</w:t>
            </w:r>
            <w:r>
              <w:rPr>
                <w:rFonts w:ascii="宋体" w:hAnsi="宋体" w:hint="eastAsia"/>
              </w:rPr>
              <w:t>达75%左右。2025年受美国政府多轮关税政策影响，同时叠加传染病检测市场尤其是呼吸道传染病、热带传染病的周期性波动等因素影响，公司营业收入下降较大，此外，研发费用和股份支付费用等同比增加，公司业绩承受较大</w:t>
            </w:r>
            <w:r>
              <w:rPr>
                <w:rFonts w:ascii="宋体" w:hAnsi="宋体"/>
              </w:rPr>
              <w:t>压力</w:t>
            </w:r>
            <w:r>
              <w:rPr>
                <w:rFonts w:ascii="宋体" w:hAnsi="宋体" w:hint="eastAsia"/>
              </w:rPr>
              <w:t>。</w:t>
            </w:r>
          </w:p>
          <w:p w14:paraId="7407DF33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在中美关税维持相对稳定的背景下，公司差异化</w:t>
            </w:r>
            <w:r>
              <w:rPr>
                <w:rFonts w:ascii="宋体" w:hAnsi="宋体"/>
              </w:rPr>
              <w:t>竞争产品持续</w:t>
            </w:r>
            <w:r>
              <w:rPr>
                <w:rFonts w:ascii="宋体" w:hAnsi="宋体" w:hint="eastAsia"/>
              </w:rPr>
              <w:t>出新，产品</w:t>
            </w:r>
            <w:r>
              <w:rPr>
                <w:rFonts w:ascii="宋体" w:hAnsi="宋体"/>
              </w:rPr>
              <w:t>注册</w:t>
            </w:r>
            <w:r>
              <w:rPr>
                <w:rFonts w:ascii="宋体" w:hAnsi="宋体" w:hint="eastAsia"/>
              </w:rPr>
              <w:t>证书</w:t>
            </w:r>
            <w:r>
              <w:rPr>
                <w:rFonts w:ascii="宋体" w:hAnsi="宋体"/>
              </w:rPr>
              <w:t>陆续</w:t>
            </w:r>
            <w:r>
              <w:rPr>
                <w:rFonts w:ascii="宋体" w:hAnsi="宋体" w:hint="eastAsia"/>
              </w:rPr>
              <w:t>获证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如2025年1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月获</w:t>
            </w:r>
            <w:proofErr w:type="spellStart"/>
            <w:r>
              <w:rPr>
                <w:rFonts w:ascii="宋体" w:hAnsi="宋体" w:hint="eastAsia"/>
              </w:rPr>
              <w:t>FDA510</w:t>
            </w:r>
            <w:proofErr w:type="spellEnd"/>
            <w:r>
              <w:rPr>
                <w:rFonts w:ascii="宋体" w:hAnsi="宋体" w:hint="eastAsia"/>
              </w:rPr>
              <w:t>(k)批准的芬太尼检测（OTC）、</w:t>
            </w:r>
            <w:proofErr w:type="spellStart"/>
            <w:r>
              <w:rPr>
                <w:rFonts w:ascii="宋体" w:hAnsi="宋体" w:hint="eastAsia"/>
              </w:rPr>
              <w:t>IVDR</w:t>
            </w:r>
            <w:proofErr w:type="spellEnd"/>
            <w:r>
              <w:rPr>
                <w:rFonts w:ascii="宋体" w:hAnsi="宋体" w:hint="eastAsia"/>
              </w:rPr>
              <w:t>证书的陆续</w:t>
            </w:r>
            <w:r>
              <w:rPr>
                <w:rFonts w:ascii="宋体" w:hAnsi="宋体"/>
              </w:rPr>
              <w:t>获</w:t>
            </w:r>
            <w:proofErr w:type="gramStart"/>
            <w:r>
              <w:rPr>
                <w:rFonts w:ascii="宋体" w:hAnsi="宋体"/>
              </w:rPr>
              <w:t>批</w:t>
            </w:r>
            <w:r>
              <w:rPr>
                <w:rFonts w:ascii="宋体" w:hAnsi="宋体" w:hint="eastAsia"/>
              </w:rPr>
              <w:t>以及微流控</w:t>
            </w:r>
            <w:proofErr w:type="gramEnd"/>
            <w:r>
              <w:rPr>
                <w:rFonts w:ascii="宋体" w:hAnsi="宋体" w:hint="eastAsia"/>
              </w:rPr>
              <w:t>荧光免疫</w:t>
            </w:r>
            <w:proofErr w:type="spellStart"/>
            <w:r>
              <w:rPr>
                <w:rFonts w:ascii="宋体" w:hAnsi="宋体" w:hint="eastAsia"/>
              </w:rPr>
              <w:t>POCT</w:t>
            </w:r>
            <w:proofErr w:type="spellEnd"/>
            <w:r>
              <w:rPr>
                <w:rFonts w:ascii="宋体" w:hAnsi="宋体" w:hint="eastAsia"/>
              </w:rPr>
              <w:t>产品在中国</w:t>
            </w:r>
            <w:r>
              <w:rPr>
                <w:rFonts w:ascii="宋体" w:hAnsi="宋体"/>
              </w:rPr>
              <w:t>、欧盟及东南亚市场</w:t>
            </w:r>
            <w:r>
              <w:rPr>
                <w:rFonts w:ascii="宋体" w:hAnsi="宋体" w:hint="eastAsia"/>
              </w:rPr>
              <w:t>的陆续注册获证，公司</w:t>
            </w:r>
            <w:r>
              <w:rPr>
                <w:rFonts w:ascii="宋体" w:hAnsi="宋体"/>
              </w:rPr>
              <w:t>有</w:t>
            </w:r>
            <w:r>
              <w:rPr>
                <w:rFonts w:ascii="宋体" w:hAnsi="宋体" w:hint="eastAsia"/>
              </w:rPr>
              <w:t>信心2026年营业收入</w:t>
            </w:r>
            <w:r>
              <w:rPr>
                <w:rFonts w:ascii="宋体" w:hAnsi="宋体" w:hint="eastAsia"/>
              </w:rPr>
              <w:lastRenderedPageBreak/>
              <w:t>保持稳步增长</w:t>
            </w:r>
            <w:r>
              <w:rPr>
                <w:rFonts w:ascii="宋体" w:hAnsi="宋体"/>
              </w:rPr>
              <w:t>。</w:t>
            </w:r>
          </w:p>
          <w:p w14:paraId="0D2AD633" w14:textId="77777777" w:rsidR="00E57010" w:rsidRDefault="00293A9D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bookmarkStart w:id="1" w:name="OLE_LINK1"/>
            <w:bookmarkStart w:id="2" w:name="OLE_LINK2"/>
            <w:r>
              <w:rPr>
                <w:rFonts w:ascii="宋体"/>
                <w:b/>
                <w:szCs w:val="21"/>
              </w:rPr>
              <w:t>2</w:t>
            </w:r>
            <w:r>
              <w:rPr>
                <w:rFonts w:ascii="宋体" w:hint="eastAsia"/>
                <w:b/>
                <w:szCs w:val="21"/>
              </w:rPr>
              <w:t>、青石永</w:t>
            </w:r>
            <w:proofErr w:type="gramStart"/>
            <w:r>
              <w:rPr>
                <w:rFonts w:ascii="宋体"/>
                <w:b/>
                <w:szCs w:val="21"/>
              </w:rPr>
              <w:t>隽</w:t>
            </w:r>
            <w:proofErr w:type="gramEnd"/>
            <w:r>
              <w:rPr>
                <w:rFonts w:ascii="宋体"/>
                <w:b/>
                <w:szCs w:val="21"/>
              </w:rPr>
              <w:t>的</w:t>
            </w:r>
            <w:proofErr w:type="gramStart"/>
            <w:r>
              <w:rPr>
                <w:rFonts w:ascii="宋体"/>
                <w:b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b/>
                <w:szCs w:val="21"/>
              </w:rPr>
              <w:t>治疗抑郁症</w:t>
            </w:r>
            <w:r>
              <w:rPr>
                <w:rFonts w:ascii="宋体"/>
                <w:b/>
                <w:szCs w:val="21"/>
              </w:rPr>
              <w:t>产品</w:t>
            </w:r>
            <w:r>
              <w:rPr>
                <w:rFonts w:ascii="宋体" w:hint="eastAsia"/>
                <w:b/>
                <w:szCs w:val="21"/>
              </w:rPr>
              <w:t>现在</w:t>
            </w:r>
            <w:r>
              <w:rPr>
                <w:rFonts w:ascii="宋体"/>
                <w:b/>
                <w:szCs w:val="21"/>
              </w:rPr>
              <w:t>是什么阶段？</w:t>
            </w:r>
            <w:r>
              <w:rPr>
                <w:rFonts w:ascii="宋体" w:hint="eastAsia"/>
                <w:b/>
                <w:szCs w:val="21"/>
              </w:rPr>
              <w:t>近期有无新</w:t>
            </w:r>
            <w:r>
              <w:rPr>
                <w:rFonts w:ascii="宋体"/>
                <w:b/>
                <w:szCs w:val="21"/>
              </w:rPr>
              <w:t>的融资</w:t>
            </w:r>
            <w:r>
              <w:rPr>
                <w:rFonts w:ascii="宋体" w:hint="eastAsia"/>
                <w:b/>
                <w:szCs w:val="21"/>
              </w:rPr>
              <w:t>计划</w:t>
            </w:r>
            <w:r>
              <w:rPr>
                <w:rFonts w:ascii="宋体"/>
                <w:b/>
                <w:szCs w:val="21"/>
              </w:rPr>
              <w:t>？</w:t>
            </w:r>
            <w:r>
              <w:rPr>
                <w:rFonts w:ascii="宋体" w:hint="eastAsia"/>
                <w:b/>
                <w:szCs w:val="21"/>
              </w:rPr>
              <w:t>公司是否会增加持股比例？</w:t>
            </w:r>
          </w:p>
          <w:p w14:paraId="1E8BDC9C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答：目前青石永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该款</w:t>
            </w:r>
            <w:r>
              <w:rPr>
                <w:rFonts w:ascii="宋体"/>
                <w:szCs w:val="21"/>
              </w:rPr>
              <w:t>产品</w:t>
            </w:r>
            <w:r>
              <w:rPr>
                <w:rFonts w:ascii="宋体" w:hint="eastAsia"/>
                <w:szCs w:val="21"/>
              </w:rPr>
              <w:t>已进入科研性临床试验阶段，从2025年6月至今共入组4例。其中第一例抑郁症</w:t>
            </w:r>
            <w:r>
              <w:rPr>
                <w:rFonts w:ascii="宋体"/>
                <w:szCs w:val="21"/>
              </w:rPr>
              <w:t>患者</w:t>
            </w: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/>
                <w:szCs w:val="21"/>
              </w:rPr>
              <w:t>一名</w:t>
            </w:r>
            <w:r>
              <w:rPr>
                <w:rFonts w:ascii="宋体" w:hint="eastAsia"/>
                <w:szCs w:val="21"/>
              </w:rPr>
              <w:t>30岁的女性</w:t>
            </w:r>
            <w:r>
              <w:rPr>
                <w:rFonts w:ascii="宋体"/>
                <w:szCs w:val="21"/>
              </w:rPr>
              <w:t>，在</w:t>
            </w:r>
            <w:r>
              <w:rPr>
                <w:rFonts w:ascii="宋体" w:hint="eastAsia"/>
                <w:szCs w:val="21"/>
              </w:rPr>
              <w:t>患</w:t>
            </w:r>
            <w:r>
              <w:rPr>
                <w:rFonts w:ascii="宋体"/>
                <w:szCs w:val="21"/>
              </w:rPr>
              <w:t>抑郁症</w:t>
            </w:r>
            <w:r>
              <w:rPr>
                <w:rFonts w:ascii="宋体" w:hint="eastAsia"/>
                <w:szCs w:val="21"/>
              </w:rPr>
              <w:t>8年并且药物已对其治疗</w:t>
            </w:r>
            <w:r>
              <w:rPr>
                <w:rFonts w:ascii="宋体"/>
                <w:szCs w:val="21"/>
              </w:rPr>
              <w:t>无效</w:t>
            </w:r>
            <w:r>
              <w:rPr>
                <w:rFonts w:ascii="宋体" w:hint="eastAsia"/>
                <w:szCs w:val="21"/>
              </w:rPr>
              <w:t>的</w:t>
            </w:r>
            <w:r>
              <w:rPr>
                <w:rFonts w:ascii="宋体"/>
                <w:szCs w:val="21"/>
              </w:rPr>
              <w:t>情况下，</w:t>
            </w:r>
            <w:r>
              <w:rPr>
                <w:rFonts w:ascii="宋体" w:hint="eastAsia"/>
                <w:szCs w:val="21"/>
              </w:rPr>
              <w:t>接受</w:t>
            </w:r>
            <w:r>
              <w:rPr>
                <w:rFonts w:ascii="宋体"/>
                <w:szCs w:val="21"/>
              </w:rPr>
              <w:t>了</w:t>
            </w:r>
            <w:r>
              <w:rPr>
                <w:rFonts w:ascii="宋体" w:hint="eastAsia"/>
                <w:szCs w:val="21"/>
              </w:rPr>
              <w:t>侵入式DBS治疗</w:t>
            </w:r>
            <w:r>
              <w:rPr>
                <w:rFonts w:ascii="宋体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开机后</w:t>
            </w:r>
            <w:r>
              <w:rPr>
                <w:rFonts w:ascii="宋体"/>
                <w:szCs w:val="21"/>
              </w:rPr>
              <w:t>一周汉密尔顿</w:t>
            </w:r>
            <w:r>
              <w:rPr>
                <w:rFonts w:ascii="宋体" w:hint="eastAsia"/>
                <w:szCs w:val="21"/>
              </w:rPr>
              <w:t>量表</w:t>
            </w:r>
            <w:r>
              <w:rPr>
                <w:rFonts w:ascii="宋体"/>
                <w:szCs w:val="21"/>
              </w:rPr>
              <w:t>评分</w:t>
            </w:r>
            <w:r>
              <w:rPr>
                <w:rFonts w:ascii="宋体" w:hint="eastAsia"/>
                <w:szCs w:val="21"/>
              </w:rPr>
              <w:t>以及</w:t>
            </w:r>
            <w:r>
              <w:rPr>
                <w:rFonts w:ascii="宋体"/>
                <w:szCs w:val="21"/>
              </w:rPr>
              <w:t>病人的</w:t>
            </w:r>
            <w:r>
              <w:rPr>
                <w:rFonts w:ascii="宋体" w:hint="eastAsia"/>
                <w:szCs w:val="21"/>
              </w:rPr>
              <w:t>表征</w:t>
            </w:r>
            <w:r>
              <w:rPr>
                <w:rFonts w:ascii="宋体"/>
                <w:szCs w:val="21"/>
              </w:rPr>
              <w:t>即出现了显著改善</w:t>
            </w:r>
            <w:r>
              <w:rPr>
                <w:rFonts w:ascii="宋体" w:hint="eastAsia"/>
                <w:szCs w:val="21"/>
              </w:rPr>
              <w:t>，达到治愈状态。按照青石永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的战略规划，该产品的医疗器械注册程序</w:t>
            </w:r>
            <w:r>
              <w:rPr>
                <w:rFonts w:ascii="宋体"/>
                <w:szCs w:val="21"/>
              </w:rPr>
              <w:t>将</w:t>
            </w:r>
            <w:r>
              <w:rPr>
                <w:rFonts w:ascii="宋体" w:hint="eastAsia"/>
                <w:szCs w:val="21"/>
              </w:rPr>
              <w:t>在2026年下半年正式</w:t>
            </w:r>
            <w:r>
              <w:rPr>
                <w:rFonts w:ascii="宋体"/>
                <w:szCs w:val="21"/>
              </w:rPr>
              <w:t>启动，</w:t>
            </w:r>
            <w:r>
              <w:rPr>
                <w:rFonts w:ascii="宋体" w:hint="eastAsia"/>
                <w:szCs w:val="21"/>
              </w:rPr>
              <w:t>需要入组申报</w:t>
            </w:r>
            <w:r>
              <w:rPr>
                <w:rFonts w:ascii="宋体"/>
                <w:szCs w:val="21"/>
              </w:rPr>
              <w:t>的临床数量</w:t>
            </w:r>
            <w:r>
              <w:rPr>
                <w:rFonts w:ascii="宋体" w:hint="eastAsia"/>
                <w:szCs w:val="21"/>
              </w:rPr>
              <w:t>为100例，如进展顺利将在2029年获批，预计2030年可上市销售。据了解，青石永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在启动正式临床注册前，预计会开启新一轮融资，公司</w:t>
            </w:r>
            <w:r>
              <w:rPr>
                <w:rFonts w:ascii="宋体"/>
                <w:szCs w:val="21"/>
              </w:rPr>
              <w:t>将</w:t>
            </w:r>
            <w:r>
              <w:rPr>
                <w:rFonts w:ascii="宋体" w:hint="eastAsia"/>
                <w:szCs w:val="21"/>
              </w:rPr>
              <w:t>持续</w:t>
            </w:r>
            <w:r>
              <w:rPr>
                <w:rFonts w:ascii="宋体"/>
                <w:szCs w:val="21"/>
              </w:rPr>
              <w:t>关注后续</w:t>
            </w:r>
            <w:r>
              <w:rPr>
                <w:rFonts w:ascii="宋体" w:hint="eastAsia"/>
                <w:szCs w:val="21"/>
              </w:rPr>
              <w:t>融资计划和发展进展，积极推进产业及股权合作。</w:t>
            </w:r>
          </w:p>
          <w:p w14:paraId="2B239EA5" w14:textId="77777777" w:rsidR="00E57010" w:rsidRDefault="00293A9D">
            <w:pPr>
              <w:spacing w:beforeLines="50" w:before="156" w:line="360" w:lineRule="exact"/>
              <w:ind w:firstLineChars="200" w:firstLine="422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3、青石永</w:t>
            </w:r>
            <w:proofErr w:type="gramStart"/>
            <w:r>
              <w:rPr>
                <w:rFonts w:ascii="宋体" w:hint="eastAsia"/>
                <w:b/>
                <w:szCs w:val="21"/>
              </w:rPr>
              <w:t>隽</w:t>
            </w:r>
            <w:proofErr w:type="gramEnd"/>
            <w:r>
              <w:rPr>
                <w:rFonts w:ascii="宋体" w:hint="eastAsia"/>
                <w:b/>
                <w:szCs w:val="21"/>
              </w:rPr>
              <w:t>治疗难治性抑郁症与其他适应症有何不同？其核心竞争力是什么？</w:t>
            </w:r>
          </w:p>
          <w:p w14:paraId="6B12E3EA" w14:textId="77777777" w:rsidR="00E57010" w:rsidRDefault="00293A9D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答：</w:t>
            </w:r>
            <w:r>
              <w:rPr>
                <w:rFonts w:ascii="宋体" w:hAnsi="宋体"/>
              </w:rPr>
              <w:t>抑郁是一个长期的情绪障碍，不像帕金森和癫痫这类运动障碍可有即刻效果</w:t>
            </w:r>
            <w:r>
              <w:rPr>
                <w:rFonts w:ascii="宋体" w:hAnsi="宋体" w:hint="eastAsia"/>
              </w:rPr>
              <w:t>，也</w:t>
            </w:r>
            <w:r>
              <w:rPr>
                <w:rFonts w:ascii="宋体" w:hAnsi="宋体"/>
              </w:rPr>
              <w:t>不同于帕金森的丘脑底核（</w:t>
            </w:r>
            <w:proofErr w:type="spellStart"/>
            <w:r>
              <w:rPr>
                <w:rFonts w:ascii="宋体" w:hAnsi="宋体"/>
              </w:rPr>
              <w:t>STN</w:t>
            </w:r>
            <w:proofErr w:type="spellEnd"/>
            <w:r>
              <w:rPr>
                <w:rFonts w:ascii="宋体" w:hAnsi="宋体"/>
              </w:rPr>
              <w:t>）和苍白球内侧部（</w:t>
            </w:r>
            <w:proofErr w:type="spellStart"/>
            <w:r>
              <w:rPr>
                <w:rFonts w:ascii="宋体" w:hAnsi="宋体"/>
              </w:rPr>
              <w:t>GPi</w:t>
            </w:r>
            <w:proofErr w:type="spellEnd"/>
            <w:r>
              <w:rPr>
                <w:rFonts w:ascii="宋体" w:hAnsi="宋体"/>
              </w:rPr>
              <w:t>）、以及癫痫</w:t>
            </w:r>
            <w:proofErr w:type="gramStart"/>
            <w:r>
              <w:rPr>
                <w:rFonts w:ascii="宋体" w:hAnsi="宋体"/>
              </w:rPr>
              <w:t>的灶点相对</w:t>
            </w:r>
            <w:proofErr w:type="gramEnd"/>
            <w:r>
              <w:rPr>
                <w:rFonts w:ascii="宋体" w:hAnsi="宋体"/>
              </w:rPr>
              <w:t>明确，抑郁</w:t>
            </w:r>
            <w:proofErr w:type="gramStart"/>
            <w:r>
              <w:rPr>
                <w:rFonts w:ascii="宋体" w:hAnsi="宋体"/>
              </w:rPr>
              <w:t>涉及多脑区</w:t>
            </w:r>
            <w:proofErr w:type="gramEnd"/>
            <w:r>
              <w:rPr>
                <w:rFonts w:ascii="宋体" w:hAnsi="宋体"/>
              </w:rPr>
              <w:t>、多神经环路，故潜在靶点众多。抑郁具有多种症候群和亚型，个体差异大。此外，大脑具有神经可塑性，当连续实施同样的刺激一段时间后，神经元之间的连接会发生改变，原先有效的刺激参数也可能逐渐变得不那么有效。</w:t>
            </w:r>
          </w:p>
          <w:p w14:paraId="43AB67D4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青石永</w:t>
            </w:r>
            <w:proofErr w:type="gramStart"/>
            <w:r>
              <w:rPr>
                <w:rFonts w:ascii="宋体" w:hAnsi="宋体" w:hint="eastAsia"/>
              </w:rPr>
              <w:t>隽</w:t>
            </w:r>
            <w:proofErr w:type="gramEnd"/>
            <w:r>
              <w:rPr>
                <w:rFonts w:ascii="宋体" w:hAnsi="宋体" w:hint="eastAsia"/>
              </w:rPr>
              <w:t>为</w:t>
            </w:r>
            <w:proofErr w:type="gramStart"/>
            <w:r>
              <w:rPr>
                <w:rFonts w:ascii="宋体" w:hAnsi="宋体" w:hint="eastAsia"/>
              </w:rPr>
              <w:t>南湖脑机交叉</w:t>
            </w:r>
            <w:proofErr w:type="gramEnd"/>
            <w:r>
              <w:rPr>
                <w:rFonts w:ascii="宋体" w:hAnsi="宋体" w:hint="eastAsia"/>
              </w:rPr>
              <w:t>研究院孵化的</w:t>
            </w:r>
            <w:proofErr w:type="gramStart"/>
            <w:r>
              <w:rPr>
                <w:rFonts w:ascii="宋体" w:hAnsi="宋体" w:hint="eastAsia"/>
              </w:rPr>
              <w:t>脑机接口</w:t>
            </w:r>
            <w:proofErr w:type="gramEnd"/>
            <w:r>
              <w:rPr>
                <w:rFonts w:ascii="宋体" w:hAnsi="宋体" w:hint="eastAsia"/>
              </w:rPr>
              <w:t>产业公司，其团队核心成员来自浙江大学脑机智</w:t>
            </w:r>
            <w:proofErr w:type="gramStart"/>
            <w:r>
              <w:rPr>
                <w:rFonts w:ascii="宋体" w:hAnsi="宋体" w:hint="eastAsia"/>
              </w:rPr>
              <w:t>能全国</w:t>
            </w:r>
            <w:proofErr w:type="gramEnd"/>
            <w:r>
              <w:rPr>
                <w:rFonts w:ascii="宋体" w:hAnsi="宋体" w:hint="eastAsia"/>
              </w:rPr>
              <w:t>重点实验室，是全国率先开展侵入</w:t>
            </w:r>
            <w:proofErr w:type="gramStart"/>
            <w:r>
              <w:rPr>
                <w:rFonts w:ascii="宋体" w:hAnsi="宋体" w:hint="eastAsia"/>
              </w:rPr>
              <w:t>式脑机接口</w:t>
            </w:r>
            <w:proofErr w:type="gramEnd"/>
            <w:r>
              <w:rPr>
                <w:rFonts w:ascii="宋体" w:hAnsi="宋体" w:hint="eastAsia"/>
              </w:rPr>
              <w:t>方向研究的科研团队，取得了一系列首创意义成果，在本领域具有显著领先优势，构建了全国最完整的鼠-猴-</w:t>
            </w:r>
            <w:proofErr w:type="gramStart"/>
            <w:r>
              <w:rPr>
                <w:rFonts w:ascii="宋体" w:hAnsi="宋体" w:hint="eastAsia"/>
              </w:rPr>
              <w:t>临床脑机研究</w:t>
            </w:r>
            <w:proofErr w:type="gramEnd"/>
            <w:r>
              <w:rPr>
                <w:rFonts w:ascii="宋体" w:hAnsi="宋体" w:hint="eastAsia"/>
              </w:rPr>
              <w:t>平台。青石永</w:t>
            </w:r>
            <w:proofErr w:type="gramStart"/>
            <w:r>
              <w:rPr>
                <w:rFonts w:ascii="宋体" w:hAnsi="宋体" w:hint="eastAsia"/>
              </w:rPr>
              <w:t>隽</w:t>
            </w:r>
            <w:proofErr w:type="gramEnd"/>
            <w:r>
              <w:rPr>
                <w:rFonts w:ascii="宋体" w:hAnsi="宋体" w:hint="eastAsia"/>
              </w:rPr>
              <w:t>设计研发的治疗难治性抑郁症</w:t>
            </w:r>
            <w:r>
              <w:rPr>
                <w:rFonts w:ascii="宋体" w:hAnsi="宋体"/>
              </w:rPr>
              <w:t>产品可以通过</w:t>
            </w:r>
            <w:proofErr w:type="gramStart"/>
            <w:r>
              <w:rPr>
                <w:rFonts w:ascii="宋体" w:hAnsi="宋体"/>
              </w:rPr>
              <w:t>获取多脑区</w:t>
            </w:r>
            <w:proofErr w:type="gramEnd"/>
            <w:r>
              <w:rPr>
                <w:rFonts w:ascii="宋体" w:hAnsi="宋体"/>
              </w:rPr>
              <w:t>、多频段的高保真信号，自动计算抑郁症状神经标记物，追踪患者抑郁状态。</w:t>
            </w:r>
            <w:r>
              <w:rPr>
                <w:rFonts w:ascii="宋体" w:hAnsi="宋体" w:hint="eastAsia"/>
              </w:rPr>
              <w:t>并且可以</w:t>
            </w:r>
            <w:r>
              <w:rPr>
                <w:rFonts w:ascii="宋体" w:hAnsi="宋体"/>
              </w:rPr>
              <w:t>根据患者抑郁症状相关的脑区构建个性化抑郁脑网络，再依据与这个</w:t>
            </w:r>
            <w:proofErr w:type="gramStart"/>
            <w:r>
              <w:rPr>
                <w:rFonts w:ascii="宋体" w:hAnsi="宋体"/>
              </w:rPr>
              <w:t>脑网络</w:t>
            </w:r>
            <w:proofErr w:type="gramEnd"/>
            <w:r>
              <w:rPr>
                <w:rFonts w:ascii="宋体" w:hAnsi="宋体"/>
              </w:rPr>
              <w:t>的结构和功能连通性，智能地选择刺激靶点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可以做到依据症状变化推荐最优参数</w:t>
            </w:r>
            <w:r>
              <w:rPr>
                <w:rFonts w:ascii="宋体" w:hAnsi="宋体" w:hint="eastAsia"/>
              </w:rPr>
              <w:t>。</w:t>
            </w:r>
          </w:p>
          <w:p w14:paraId="369BE911" w14:textId="77777777" w:rsidR="00E57010" w:rsidRDefault="00293A9D">
            <w:pPr>
              <w:spacing w:beforeLines="50" w:before="156" w:line="360" w:lineRule="exact"/>
              <w:ind w:firstLineChars="200" w:firstLine="422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4、请问马斯克的</w:t>
            </w:r>
            <w:proofErr w:type="spellStart"/>
            <w:r>
              <w:rPr>
                <w:rFonts w:ascii="宋体" w:hint="eastAsia"/>
                <w:b/>
                <w:szCs w:val="21"/>
              </w:rPr>
              <w:t>Neuralink</w:t>
            </w:r>
            <w:proofErr w:type="spellEnd"/>
            <w:r>
              <w:rPr>
                <w:rFonts w:ascii="宋体" w:hint="eastAsia"/>
                <w:b/>
                <w:szCs w:val="21"/>
              </w:rPr>
              <w:t>与青石永</w:t>
            </w:r>
            <w:proofErr w:type="gramStart"/>
            <w:r>
              <w:rPr>
                <w:rFonts w:ascii="宋体" w:hint="eastAsia"/>
                <w:b/>
                <w:szCs w:val="21"/>
              </w:rPr>
              <w:t>隽</w:t>
            </w:r>
            <w:proofErr w:type="gramEnd"/>
            <w:r>
              <w:rPr>
                <w:rFonts w:ascii="宋体" w:hint="eastAsia"/>
                <w:b/>
                <w:szCs w:val="21"/>
              </w:rPr>
              <w:t>的产品有何区别？</w:t>
            </w:r>
          </w:p>
          <w:p w14:paraId="65B6F531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答：马斯克的</w:t>
            </w:r>
            <w:proofErr w:type="spellStart"/>
            <w:r>
              <w:rPr>
                <w:rFonts w:ascii="宋体" w:hAnsi="宋体" w:hint="eastAsia"/>
              </w:rPr>
              <w:t>Neuralink</w:t>
            </w:r>
            <w:proofErr w:type="spellEnd"/>
            <w:r>
              <w:rPr>
                <w:rFonts w:ascii="宋体" w:hAnsi="宋体" w:hint="eastAsia"/>
              </w:rPr>
              <w:t>与青石永</w:t>
            </w:r>
            <w:proofErr w:type="gramStart"/>
            <w:r>
              <w:rPr>
                <w:rFonts w:ascii="宋体" w:hAnsi="宋体" w:hint="eastAsia"/>
              </w:rPr>
              <w:t>隽</w:t>
            </w:r>
            <w:proofErr w:type="gramEnd"/>
            <w:r>
              <w:rPr>
                <w:rFonts w:ascii="宋体" w:hAnsi="宋体" w:hint="eastAsia"/>
              </w:rPr>
              <w:t>虽然都致力于侵入</w:t>
            </w:r>
            <w:proofErr w:type="gramStart"/>
            <w:r>
              <w:rPr>
                <w:rFonts w:ascii="宋体" w:hAnsi="宋体" w:hint="eastAsia"/>
              </w:rPr>
              <w:t>式脑机接口</w:t>
            </w:r>
            <w:proofErr w:type="gramEnd"/>
            <w:r>
              <w:rPr>
                <w:rFonts w:ascii="宋体" w:hAnsi="宋体" w:hint="eastAsia"/>
              </w:rPr>
              <w:t>技术，但核心区别在于：</w:t>
            </w:r>
            <w:proofErr w:type="spellStart"/>
            <w:r>
              <w:rPr>
                <w:rFonts w:ascii="宋体" w:hAnsi="宋体" w:hint="eastAsia"/>
              </w:rPr>
              <w:t>Neuralink</w:t>
            </w:r>
            <w:proofErr w:type="spellEnd"/>
            <w:r>
              <w:rPr>
                <w:rFonts w:ascii="宋体" w:hAnsi="宋体" w:hint="eastAsia"/>
              </w:rPr>
              <w:t>旨在构建覆盖运动、语言、视觉等多功能的“全脑接口”，终极目标是与人工智能深度融合，甚至实现人类与AI的共生，其技术路径呈现平台化、通用化特征；而青石永</w:t>
            </w:r>
            <w:proofErr w:type="gramStart"/>
            <w:r>
              <w:rPr>
                <w:rFonts w:ascii="宋体" w:hAnsi="宋体" w:hint="eastAsia"/>
              </w:rPr>
              <w:t>隽</w:t>
            </w:r>
            <w:proofErr w:type="gramEnd"/>
            <w:r>
              <w:rPr>
                <w:rFonts w:ascii="宋体" w:hAnsi="宋体" w:hint="eastAsia"/>
              </w:rPr>
              <w:t>则聚焦于垂直医疗领域，其首款产品精准针对难治性重症抑郁症的治疗，通过闭环调控系统提供个性化治疗方案，追求在特定脑疾病治疗场景做到极致。</w:t>
            </w:r>
          </w:p>
          <w:p w14:paraId="2C76BB1C" w14:textId="77777777" w:rsidR="00E57010" w:rsidRDefault="00293A9D">
            <w:pPr>
              <w:spacing w:beforeLines="50" w:before="156" w:line="360" w:lineRule="exact"/>
              <w:ind w:firstLineChars="200" w:firstLine="422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lastRenderedPageBreak/>
              <w:t>5、青石永</w:t>
            </w:r>
            <w:proofErr w:type="gramStart"/>
            <w:r>
              <w:rPr>
                <w:rFonts w:ascii="宋体" w:hint="eastAsia"/>
                <w:b/>
                <w:szCs w:val="21"/>
              </w:rPr>
              <w:t>隽</w:t>
            </w:r>
            <w:proofErr w:type="gramEnd"/>
            <w:r>
              <w:rPr>
                <w:rFonts w:ascii="宋体" w:hint="eastAsia"/>
                <w:b/>
                <w:szCs w:val="21"/>
              </w:rPr>
              <w:t>作为侵入</w:t>
            </w:r>
            <w:proofErr w:type="gramStart"/>
            <w:r>
              <w:rPr>
                <w:rFonts w:ascii="宋体" w:hint="eastAsia"/>
                <w:b/>
                <w:szCs w:val="21"/>
              </w:rPr>
              <w:t>式脑机接口</w:t>
            </w:r>
            <w:proofErr w:type="gramEnd"/>
            <w:r>
              <w:rPr>
                <w:rFonts w:ascii="宋体" w:hint="eastAsia"/>
                <w:b/>
                <w:szCs w:val="21"/>
              </w:rPr>
              <w:t>方向的领先公司，有无获得国家相关资金支持？</w:t>
            </w:r>
          </w:p>
          <w:p w14:paraId="4172C392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答：近期，青石</w:t>
            </w:r>
            <w:r>
              <w:rPr>
                <w:rFonts w:ascii="宋体" w:hAnsi="宋体"/>
              </w:rPr>
              <w:t>永</w:t>
            </w:r>
            <w:proofErr w:type="gramStart"/>
            <w:r>
              <w:rPr>
                <w:rFonts w:ascii="宋体" w:hAnsi="宋体"/>
              </w:rPr>
              <w:t>隽</w:t>
            </w:r>
            <w:proofErr w:type="gramEnd"/>
            <w:r>
              <w:rPr>
                <w:rFonts w:ascii="宋体" w:hAnsi="宋体" w:hint="eastAsia"/>
              </w:rPr>
              <w:t>收到了国家基金委正式通知，获国家自然科学基金联合基金生命健康重大专项《无支架高精度血管介入式脑机接口研究》资助，批准直接经费额2,200万元，该项目属于国家自然科学基金委体系内的重大项目，青石永</w:t>
            </w:r>
            <w:proofErr w:type="gramStart"/>
            <w:r>
              <w:rPr>
                <w:rFonts w:ascii="宋体" w:hAnsi="宋体" w:hint="eastAsia"/>
              </w:rPr>
              <w:t>隽</w:t>
            </w:r>
            <w:proofErr w:type="gramEnd"/>
            <w:r>
              <w:rPr>
                <w:rFonts w:ascii="宋体" w:hAnsi="宋体" w:hint="eastAsia"/>
              </w:rPr>
              <w:t>作为唯一企业参与。</w:t>
            </w:r>
          </w:p>
          <w:bookmarkEnd w:id="1"/>
          <w:bookmarkEnd w:id="2"/>
          <w:p w14:paraId="0AB6DDEC" w14:textId="77777777" w:rsidR="00E57010" w:rsidRDefault="00293A9D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6、公司近期</w:t>
            </w:r>
            <w:r>
              <w:rPr>
                <w:rFonts w:ascii="宋体"/>
                <w:b/>
                <w:szCs w:val="21"/>
              </w:rPr>
              <w:t>战略</w:t>
            </w:r>
            <w:r>
              <w:rPr>
                <w:rFonts w:ascii="宋体" w:hint="eastAsia"/>
                <w:b/>
                <w:szCs w:val="21"/>
              </w:rPr>
              <w:t>参</w:t>
            </w:r>
            <w:r>
              <w:rPr>
                <w:rFonts w:ascii="宋体"/>
                <w:b/>
                <w:szCs w:val="21"/>
              </w:rPr>
              <w:t>股了非</w:t>
            </w:r>
            <w:r>
              <w:rPr>
                <w:rFonts w:ascii="宋体" w:hint="eastAsia"/>
                <w:b/>
                <w:szCs w:val="21"/>
              </w:rPr>
              <w:t>侵入</w:t>
            </w:r>
            <w:proofErr w:type="gramStart"/>
            <w:r>
              <w:rPr>
                <w:rFonts w:ascii="宋体" w:hint="eastAsia"/>
                <w:b/>
                <w:szCs w:val="21"/>
              </w:rPr>
              <w:t>式</w:t>
            </w:r>
            <w:r>
              <w:rPr>
                <w:rFonts w:ascii="宋体"/>
                <w:b/>
                <w:szCs w:val="21"/>
              </w:rPr>
              <w:t>脑机接口</w:t>
            </w:r>
            <w:proofErr w:type="gramEnd"/>
            <w:r>
              <w:rPr>
                <w:rFonts w:ascii="宋体"/>
                <w:b/>
                <w:szCs w:val="21"/>
              </w:rPr>
              <w:t>公司，</w:t>
            </w:r>
            <w:r>
              <w:rPr>
                <w:rFonts w:ascii="宋体" w:hint="eastAsia"/>
                <w:b/>
                <w:szCs w:val="21"/>
              </w:rPr>
              <w:t>能否介绍下该公司的相关情况？</w:t>
            </w:r>
          </w:p>
          <w:p w14:paraId="140905BC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答：近日，通过公司的产投平台，公司战略参股了杭州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 w:hint="eastAsia"/>
                <w:szCs w:val="21"/>
              </w:rPr>
              <w:t>天</w:t>
            </w:r>
            <w:proofErr w:type="gramStart"/>
            <w:r>
              <w:rPr>
                <w:rFonts w:ascii="宋体" w:hint="eastAsia"/>
                <w:szCs w:val="21"/>
              </w:rPr>
              <w:t>辉科技</w:t>
            </w:r>
            <w:proofErr w:type="gramEnd"/>
            <w:r>
              <w:rPr>
                <w:rFonts w:ascii="宋体" w:hint="eastAsia"/>
                <w:szCs w:val="21"/>
              </w:rPr>
              <w:t>有限公司（以下简称“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 w:hint="eastAsia"/>
                <w:szCs w:val="21"/>
              </w:rPr>
              <w:t>天辉”），作为其本轮融资的唯一投资方，公司</w:t>
            </w:r>
            <w:r>
              <w:rPr>
                <w:rFonts w:ascii="宋体"/>
                <w:szCs w:val="21"/>
              </w:rPr>
              <w:t>投后</w:t>
            </w:r>
            <w:r>
              <w:rPr>
                <w:rFonts w:ascii="宋体" w:hint="eastAsia"/>
                <w:szCs w:val="21"/>
              </w:rPr>
              <w:t>持股</w:t>
            </w:r>
            <w:r>
              <w:rPr>
                <w:rFonts w:ascii="宋体"/>
                <w:szCs w:val="21"/>
              </w:rPr>
              <w:t>占比</w:t>
            </w:r>
            <w:r>
              <w:rPr>
                <w:rFonts w:ascii="宋体" w:hint="eastAsia"/>
                <w:szCs w:val="21"/>
              </w:rPr>
              <w:t>16%。这是继2025年战略入股青石永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后，公司在非侵入</w:t>
            </w:r>
            <w:proofErr w:type="gramStart"/>
            <w:r>
              <w:rPr>
                <w:rFonts w:ascii="宋体" w:hint="eastAsia"/>
                <w:szCs w:val="21"/>
              </w:rPr>
              <w:t>式脑机接口</w:t>
            </w:r>
            <w:proofErr w:type="gramEnd"/>
            <w:r>
              <w:rPr>
                <w:rFonts w:ascii="宋体" w:hint="eastAsia"/>
                <w:szCs w:val="21"/>
              </w:rPr>
              <w:t>方向的又一次探索。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/>
                <w:szCs w:val="21"/>
              </w:rPr>
              <w:t>天辉</w:t>
            </w:r>
            <w:r>
              <w:rPr>
                <w:rFonts w:ascii="宋体" w:hint="eastAsia"/>
                <w:szCs w:val="21"/>
              </w:rPr>
              <w:t>是一家专注于人工智能医疗领域的创新型高科技企业，其核心创始团队具备海外创业背景、深厚的</w:t>
            </w:r>
            <w:r>
              <w:rPr>
                <w:rFonts w:ascii="宋体"/>
                <w:szCs w:val="21"/>
              </w:rPr>
              <w:t>行业</w:t>
            </w:r>
            <w:r>
              <w:rPr>
                <w:rFonts w:ascii="宋体" w:hint="eastAsia"/>
                <w:szCs w:val="21"/>
              </w:rPr>
              <w:t>技术积淀以及市场营销</w:t>
            </w:r>
            <w:r>
              <w:rPr>
                <w:rFonts w:ascii="宋体"/>
                <w:szCs w:val="21"/>
              </w:rPr>
              <w:t>拓展</w:t>
            </w:r>
            <w:r>
              <w:rPr>
                <w:rFonts w:ascii="宋体" w:hint="eastAsia"/>
                <w:szCs w:val="21"/>
              </w:rPr>
              <w:t>资源。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/>
                <w:szCs w:val="21"/>
              </w:rPr>
              <w:t>天辉</w:t>
            </w:r>
            <w:r>
              <w:rPr>
                <w:rFonts w:ascii="宋体" w:hint="eastAsia"/>
                <w:szCs w:val="21"/>
              </w:rPr>
              <w:t>自创立以来聚焦AI技术在医疗场景的深度落地，构建了覆盖精神健康、心血管监测、影像诊断等多元产品矩阵。其自主研发的医疗级非侵入</w:t>
            </w:r>
            <w:proofErr w:type="gramStart"/>
            <w:r>
              <w:rPr>
                <w:rFonts w:ascii="宋体" w:hint="eastAsia"/>
                <w:szCs w:val="21"/>
              </w:rPr>
              <w:t>式脑机接口</w:t>
            </w:r>
            <w:proofErr w:type="gramEnd"/>
            <w:r>
              <w:rPr>
                <w:rFonts w:ascii="宋体" w:hint="eastAsia"/>
                <w:szCs w:val="21"/>
              </w:rPr>
              <w:t>与精神健康评估设备，可精准打分</w:t>
            </w:r>
            <w:r>
              <w:rPr>
                <w:rFonts w:ascii="宋体"/>
                <w:szCs w:val="21"/>
              </w:rPr>
              <w:t>评估</w:t>
            </w:r>
            <w:r>
              <w:rPr>
                <w:rFonts w:ascii="宋体" w:hint="eastAsia"/>
                <w:szCs w:val="21"/>
              </w:rPr>
              <w:t>抑郁、焦虑等情绪问题，并创新融合音乐疗愈等干预方案，构建“评估-干预-反馈”的全流程闭环服务。产品可用于情绪检测、心理状态筛查、干预效果评估等，实现精神健康指标的精准量化，相比传统量表评估更客观、高效，适配医院、学校、体检中心、精神卫生机构等多场景。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 w:hint="eastAsia"/>
                <w:szCs w:val="21"/>
              </w:rPr>
              <w:t>天辉已于2025年11月取得了适用于</w:t>
            </w:r>
            <w:r>
              <w:rPr>
                <w:rFonts w:ascii="宋体"/>
                <w:szCs w:val="21"/>
              </w:rPr>
              <w:t>检测抑郁、焦虑</w:t>
            </w:r>
            <w:r>
              <w:rPr>
                <w:rFonts w:ascii="宋体" w:hint="eastAsia"/>
                <w:szCs w:val="21"/>
              </w:rPr>
              <w:t>等精神健康疾病</w:t>
            </w:r>
            <w:r>
              <w:rPr>
                <w:rFonts w:ascii="宋体"/>
                <w:szCs w:val="21"/>
              </w:rPr>
              <w:t>的二类医疗器械</w:t>
            </w:r>
            <w:r>
              <w:rPr>
                <w:rFonts w:ascii="宋体" w:hint="eastAsia"/>
                <w:szCs w:val="21"/>
              </w:rPr>
              <w:t>注册证，预计2026年将在</w:t>
            </w:r>
            <w:r>
              <w:rPr>
                <w:rFonts w:ascii="宋体"/>
                <w:szCs w:val="21"/>
              </w:rPr>
              <w:t>国内陆续</w:t>
            </w:r>
            <w:r>
              <w:rPr>
                <w:rFonts w:ascii="宋体" w:hint="eastAsia"/>
                <w:szCs w:val="21"/>
              </w:rPr>
              <w:t>进行</w:t>
            </w:r>
            <w:r>
              <w:rPr>
                <w:rFonts w:ascii="宋体"/>
                <w:szCs w:val="21"/>
              </w:rPr>
              <w:t>推广销售。</w:t>
            </w:r>
          </w:p>
          <w:p w14:paraId="27707552" w14:textId="07D03315" w:rsidR="003C4C2C" w:rsidRDefault="003C4C2C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bookmarkStart w:id="3" w:name="OLE_LINK3"/>
            <w:bookmarkStart w:id="4" w:name="OLE_LINK4"/>
            <w:r>
              <w:rPr>
                <w:rFonts w:ascii="宋体" w:hint="eastAsia"/>
                <w:b/>
                <w:szCs w:val="21"/>
              </w:rPr>
              <w:t>7、</w:t>
            </w:r>
            <w:r>
              <w:rPr>
                <w:rFonts w:ascii="宋体"/>
                <w:b/>
                <w:szCs w:val="21"/>
              </w:rPr>
              <w:t>请介绍</w:t>
            </w:r>
            <w:proofErr w:type="gramStart"/>
            <w:r>
              <w:rPr>
                <w:rFonts w:ascii="宋体"/>
                <w:b/>
                <w:szCs w:val="21"/>
              </w:rPr>
              <w:t>皓世</w:t>
            </w:r>
            <w:proofErr w:type="gramEnd"/>
            <w:r>
              <w:rPr>
                <w:rFonts w:ascii="宋体"/>
                <w:b/>
                <w:szCs w:val="21"/>
              </w:rPr>
              <w:t>天辉在非侵入</w:t>
            </w:r>
            <w:proofErr w:type="gramStart"/>
            <w:r>
              <w:rPr>
                <w:rFonts w:ascii="宋体"/>
                <w:b/>
                <w:szCs w:val="21"/>
              </w:rPr>
              <w:t>式脑机</w:t>
            </w:r>
            <w:proofErr w:type="gramEnd"/>
            <w:r>
              <w:rPr>
                <w:rFonts w:ascii="宋体"/>
                <w:b/>
                <w:szCs w:val="21"/>
              </w:rPr>
              <w:t>领域的行业状况</w:t>
            </w:r>
            <w:r w:rsidR="00A8417C">
              <w:rPr>
                <w:rFonts w:ascii="宋体" w:hint="eastAsia"/>
                <w:b/>
                <w:szCs w:val="21"/>
              </w:rPr>
              <w:t>、</w:t>
            </w:r>
            <w:r>
              <w:rPr>
                <w:rFonts w:ascii="宋体"/>
                <w:b/>
                <w:szCs w:val="21"/>
              </w:rPr>
              <w:t>公司</w:t>
            </w:r>
            <w:r>
              <w:rPr>
                <w:rFonts w:ascii="宋体" w:hint="eastAsia"/>
                <w:b/>
                <w:szCs w:val="21"/>
              </w:rPr>
              <w:t>核心</w:t>
            </w:r>
            <w:r>
              <w:rPr>
                <w:rFonts w:ascii="宋体"/>
                <w:b/>
                <w:szCs w:val="21"/>
              </w:rPr>
              <w:t>竞争力</w:t>
            </w:r>
            <w:r>
              <w:rPr>
                <w:rFonts w:ascii="宋体" w:hint="eastAsia"/>
                <w:b/>
                <w:szCs w:val="21"/>
              </w:rPr>
              <w:t>及</w:t>
            </w:r>
            <w:r>
              <w:rPr>
                <w:rFonts w:ascii="宋体"/>
                <w:b/>
                <w:szCs w:val="21"/>
              </w:rPr>
              <w:t>商业化如何？</w:t>
            </w:r>
          </w:p>
          <w:p w14:paraId="7EECE12B" w14:textId="5D0DF005" w:rsidR="001D6B3A" w:rsidRDefault="003C4C2C" w:rsidP="008F051F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</w:t>
            </w:r>
            <w:r w:rsidR="001D6B3A" w:rsidRPr="001D6B3A">
              <w:rPr>
                <w:rFonts w:ascii="宋体" w:hint="eastAsia"/>
                <w:szCs w:val="21"/>
              </w:rPr>
              <w:t>在精神健康诊断领域，当前主流方法主要依赖“量表评估+医生综合判断”的结合模式，对抑郁症、焦虑症等疾病进行诊断。该方式评估</w:t>
            </w:r>
            <w:r w:rsidR="00A8417C">
              <w:rPr>
                <w:rFonts w:ascii="宋体" w:hint="eastAsia"/>
                <w:szCs w:val="21"/>
              </w:rPr>
              <w:t>耗时长</w:t>
            </w:r>
            <w:r w:rsidR="001D6B3A" w:rsidRPr="001D6B3A">
              <w:rPr>
                <w:rFonts w:ascii="宋体" w:hint="eastAsia"/>
                <w:szCs w:val="21"/>
              </w:rPr>
              <w:t>，且</w:t>
            </w:r>
            <w:r w:rsidR="00A8417C">
              <w:rPr>
                <w:rFonts w:ascii="宋体" w:hint="eastAsia"/>
                <w:szCs w:val="21"/>
              </w:rPr>
              <w:t>较难量化</w:t>
            </w:r>
            <w:r w:rsidR="001D6B3A" w:rsidRPr="001D6B3A">
              <w:rPr>
                <w:rFonts w:ascii="宋体" w:hint="eastAsia"/>
                <w:szCs w:val="21"/>
              </w:rPr>
              <w:t>，尤其在非医院场景下（如社区筛查或企业健康管理），专业心理医生资</w:t>
            </w:r>
            <w:r w:rsidR="001D6B3A">
              <w:rPr>
                <w:rFonts w:ascii="宋体" w:hint="eastAsia"/>
                <w:szCs w:val="21"/>
              </w:rPr>
              <w:t>源不足时，单纯依赖量表易受主观因素干扰，导致结果偏差或人为误导</w:t>
            </w:r>
            <w:r>
              <w:rPr>
                <w:rFonts w:ascii="宋体" w:hint="eastAsia"/>
                <w:szCs w:val="21"/>
              </w:rPr>
              <w:t>。</w:t>
            </w:r>
            <w:r w:rsidR="001D6B3A" w:rsidRPr="001D6B3A">
              <w:rPr>
                <w:rFonts w:ascii="宋体" w:hint="eastAsia"/>
                <w:szCs w:val="21"/>
              </w:rPr>
              <w:t>非侵入</w:t>
            </w:r>
            <w:proofErr w:type="gramStart"/>
            <w:r w:rsidR="001D6B3A" w:rsidRPr="001D6B3A">
              <w:rPr>
                <w:rFonts w:ascii="宋体" w:hint="eastAsia"/>
                <w:szCs w:val="21"/>
              </w:rPr>
              <w:t>式脑机接口</w:t>
            </w:r>
            <w:proofErr w:type="gramEnd"/>
            <w:r w:rsidR="001D6B3A" w:rsidRPr="001D6B3A">
              <w:rPr>
                <w:rFonts w:ascii="宋体" w:hint="eastAsia"/>
                <w:szCs w:val="21"/>
              </w:rPr>
              <w:t>技术作为新兴解决方案，通过实时脑电信号采集与AI分析，实现高效、客观的评估，推动从诊断到干预的闭环管理</w:t>
            </w:r>
            <w:r w:rsidR="005739E7">
              <w:rPr>
                <w:rFonts w:ascii="宋体" w:hint="eastAsia"/>
                <w:szCs w:val="21"/>
              </w:rPr>
              <w:t>，</w:t>
            </w:r>
            <w:r w:rsidR="005739E7">
              <w:rPr>
                <w:rFonts w:ascii="宋体"/>
                <w:szCs w:val="21"/>
              </w:rPr>
              <w:t>解决了上述问题</w:t>
            </w:r>
            <w:r w:rsidR="001D6B3A" w:rsidRPr="001D6B3A">
              <w:rPr>
                <w:rFonts w:ascii="宋体" w:hint="eastAsia"/>
                <w:szCs w:val="21"/>
              </w:rPr>
              <w:t>。</w:t>
            </w:r>
          </w:p>
          <w:p w14:paraId="34D65723" w14:textId="5EEAF852" w:rsidR="001D6B3A" w:rsidRDefault="001D6B3A" w:rsidP="008F051F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proofErr w:type="gramStart"/>
            <w:r w:rsidRPr="001D6B3A">
              <w:rPr>
                <w:rFonts w:ascii="宋体" w:hint="eastAsia"/>
                <w:szCs w:val="21"/>
              </w:rPr>
              <w:t>皓世</w:t>
            </w:r>
            <w:proofErr w:type="gramEnd"/>
            <w:r w:rsidRPr="001D6B3A">
              <w:rPr>
                <w:rFonts w:ascii="宋体" w:hint="eastAsia"/>
                <w:szCs w:val="21"/>
              </w:rPr>
              <w:t>天辉的核心竞争力在于其全</w:t>
            </w:r>
            <w:proofErr w:type="gramStart"/>
            <w:r w:rsidRPr="001D6B3A">
              <w:rPr>
                <w:rFonts w:ascii="宋体" w:hint="eastAsia"/>
                <w:szCs w:val="21"/>
              </w:rPr>
              <w:t>栈</w:t>
            </w:r>
            <w:proofErr w:type="gramEnd"/>
            <w:r w:rsidRPr="001D6B3A">
              <w:rPr>
                <w:rFonts w:ascii="宋体" w:hint="eastAsia"/>
                <w:szCs w:val="21"/>
              </w:rPr>
              <w:t>自主研发的非侵入</w:t>
            </w:r>
            <w:proofErr w:type="gramStart"/>
            <w:r w:rsidRPr="001D6B3A">
              <w:rPr>
                <w:rFonts w:ascii="宋体" w:hint="eastAsia"/>
                <w:szCs w:val="21"/>
              </w:rPr>
              <w:t>式脑机接口</w:t>
            </w:r>
            <w:proofErr w:type="gramEnd"/>
            <w:r w:rsidRPr="001D6B3A">
              <w:rPr>
                <w:rFonts w:ascii="宋体" w:hint="eastAsia"/>
                <w:szCs w:val="21"/>
              </w:rPr>
              <w:t>技术体系。</w:t>
            </w:r>
            <w:r w:rsidR="00DF56E7">
              <w:rPr>
                <w:rFonts w:ascii="宋体" w:hint="eastAsia"/>
                <w:szCs w:val="21"/>
              </w:rPr>
              <w:t>其</w:t>
            </w:r>
            <w:r w:rsidRPr="001D6B3A">
              <w:rPr>
                <w:rFonts w:ascii="宋体" w:hint="eastAsia"/>
                <w:szCs w:val="21"/>
              </w:rPr>
              <w:t>开发的高精度AI算法，能够将抽象脑电信号实时解码为量化情绪指标，同时搭配自</w:t>
            </w:r>
            <w:proofErr w:type="gramStart"/>
            <w:r w:rsidRPr="001D6B3A">
              <w:rPr>
                <w:rFonts w:ascii="宋体" w:hint="eastAsia"/>
                <w:szCs w:val="21"/>
              </w:rPr>
              <w:t>研</w:t>
            </w:r>
            <w:proofErr w:type="gramEnd"/>
            <w:r w:rsidRPr="001D6B3A">
              <w:rPr>
                <w:rFonts w:ascii="宋体" w:hint="eastAsia"/>
                <w:szCs w:val="21"/>
              </w:rPr>
              <w:t>抗干扰硬件设计，从</w:t>
            </w:r>
            <w:r w:rsidR="00A8417C">
              <w:rPr>
                <w:rFonts w:ascii="宋体" w:hint="eastAsia"/>
                <w:szCs w:val="21"/>
              </w:rPr>
              <w:t>大脑前额</w:t>
            </w:r>
            <w:r w:rsidRPr="001D6B3A">
              <w:rPr>
                <w:rFonts w:ascii="宋体" w:hint="eastAsia"/>
                <w:szCs w:val="21"/>
              </w:rPr>
              <w:t>以非侵入方式精确采集信号，实现对抑郁症及焦虑症的最短90秒/次检测，准确率达90%以上。该</w:t>
            </w:r>
            <w:r w:rsidR="00A8417C">
              <w:rPr>
                <w:rFonts w:ascii="宋体" w:hint="eastAsia"/>
                <w:szCs w:val="21"/>
              </w:rPr>
              <w:t>设备</w:t>
            </w:r>
            <w:r w:rsidRPr="001D6B3A">
              <w:rPr>
                <w:rFonts w:ascii="宋体" w:hint="eastAsia"/>
                <w:szCs w:val="21"/>
              </w:rPr>
              <w:t>系统已获得医疗器械注册证，并创新融合软件平台，根</w:t>
            </w:r>
            <w:r w:rsidRPr="001D6B3A">
              <w:rPr>
                <w:rFonts w:ascii="宋体" w:hint="eastAsia"/>
                <w:szCs w:val="21"/>
              </w:rPr>
              <w:lastRenderedPageBreak/>
              <w:t>据实时脑电数据AI定制化生成疗愈音乐，提供个性化、自适应的数字疗法，形成“评估-干预-反馈”的完整闭环。相较传统方法，</w:t>
            </w:r>
            <w:proofErr w:type="gramStart"/>
            <w:r w:rsidR="005739E7">
              <w:rPr>
                <w:rFonts w:ascii="宋体" w:hint="eastAsia"/>
                <w:szCs w:val="21"/>
              </w:rPr>
              <w:t>皓世</w:t>
            </w:r>
            <w:proofErr w:type="gramEnd"/>
            <w:r w:rsidR="005739E7">
              <w:rPr>
                <w:rFonts w:ascii="宋体"/>
                <w:szCs w:val="21"/>
              </w:rPr>
              <w:t>天</w:t>
            </w:r>
            <w:proofErr w:type="gramStart"/>
            <w:r w:rsidR="005739E7">
              <w:rPr>
                <w:rFonts w:ascii="宋体"/>
                <w:szCs w:val="21"/>
              </w:rPr>
              <w:t>辉</w:t>
            </w:r>
            <w:r w:rsidRPr="001D6B3A">
              <w:rPr>
                <w:rFonts w:ascii="宋体" w:hint="eastAsia"/>
                <w:szCs w:val="21"/>
              </w:rPr>
              <w:t>方案</w:t>
            </w:r>
            <w:proofErr w:type="gramEnd"/>
            <w:r w:rsidRPr="001D6B3A">
              <w:rPr>
                <w:rFonts w:ascii="宋体" w:hint="eastAsia"/>
                <w:szCs w:val="21"/>
              </w:rPr>
              <w:t>显著降低了主观偏差，提升了筛查效率，适用于医院、教育、司法等多场景，构建了数据壁垒（基于海量临床数据训练）和技术护城河（硬件+算法一体化）。</w:t>
            </w:r>
          </w:p>
          <w:p w14:paraId="411CBFB7" w14:textId="011C6574" w:rsidR="00DE1D9C" w:rsidRPr="008F051F" w:rsidRDefault="00924EF9" w:rsidP="008F051F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近年</w:t>
            </w:r>
            <w:r>
              <w:rPr>
                <w:rFonts w:ascii="宋体"/>
                <w:szCs w:val="21"/>
              </w:rPr>
              <w:t>来，</w:t>
            </w:r>
            <w:r w:rsidR="005739E7" w:rsidRPr="005739E7">
              <w:rPr>
                <w:rFonts w:ascii="宋体" w:hint="eastAsia"/>
                <w:szCs w:val="21"/>
              </w:rPr>
              <w:t>中国</w:t>
            </w:r>
            <w:r>
              <w:rPr>
                <w:rFonts w:ascii="宋体" w:hint="eastAsia"/>
                <w:szCs w:val="21"/>
              </w:rPr>
              <w:t>在</w:t>
            </w:r>
            <w:r w:rsidR="00A8417C">
              <w:rPr>
                <w:rFonts w:ascii="宋体" w:hint="eastAsia"/>
                <w:szCs w:val="21"/>
              </w:rPr>
              <w:t>精神</w:t>
            </w:r>
            <w:r w:rsidR="00A8417C">
              <w:rPr>
                <w:rFonts w:ascii="宋体"/>
                <w:szCs w:val="21"/>
              </w:rPr>
              <w:t>健康</w:t>
            </w:r>
            <w:r w:rsidR="00D5004D">
              <w:rPr>
                <w:rFonts w:ascii="宋体" w:hint="eastAsia"/>
                <w:szCs w:val="21"/>
              </w:rPr>
              <w:t>疾病</w:t>
            </w:r>
            <w:r>
              <w:rPr>
                <w:rFonts w:ascii="宋体" w:hint="eastAsia"/>
                <w:szCs w:val="21"/>
              </w:rPr>
              <w:t>诊疗领域</w:t>
            </w:r>
            <w:r w:rsidR="005739E7" w:rsidRPr="005739E7">
              <w:rPr>
                <w:rFonts w:ascii="宋体" w:hint="eastAsia"/>
                <w:szCs w:val="21"/>
              </w:rPr>
              <w:t>受政策支持（如国家级医学指南纳入</w:t>
            </w:r>
            <w:proofErr w:type="spellStart"/>
            <w:r w:rsidR="005739E7" w:rsidRPr="005739E7">
              <w:rPr>
                <w:rFonts w:ascii="宋体" w:hint="eastAsia"/>
                <w:szCs w:val="21"/>
              </w:rPr>
              <w:t>AI+EEG</w:t>
            </w:r>
            <w:proofErr w:type="spellEnd"/>
            <w:r w:rsidR="005739E7">
              <w:rPr>
                <w:rFonts w:ascii="宋体" w:hint="eastAsia"/>
                <w:szCs w:val="21"/>
              </w:rPr>
              <w:t>诊断）和医保路径优化驱动，具有</w:t>
            </w:r>
            <w:r w:rsidR="005739E7">
              <w:rPr>
                <w:rFonts w:ascii="宋体"/>
                <w:szCs w:val="21"/>
              </w:rPr>
              <w:t>较</w:t>
            </w:r>
            <w:r w:rsidR="005739E7">
              <w:rPr>
                <w:rFonts w:ascii="宋体" w:hint="eastAsia"/>
                <w:szCs w:val="21"/>
              </w:rPr>
              <w:t>好</w:t>
            </w:r>
            <w:r w:rsidR="005739E7">
              <w:rPr>
                <w:rFonts w:ascii="宋体"/>
                <w:szCs w:val="21"/>
              </w:rPr>
              <w:t>的</w:t>
            </w:r>
            <w:r w:rsidR="005739E7">
              <w:rPr>
                <w:rFonts w:ascii="宋体" w:hint="eastAsia"/>
                <w:szCs w:val="21"/>
              </w:rPr>
              <w:t>商业化条件</w:t>
            </w:r>
            <w:r w:rsidR="005739E7" w:rsidRPr="005739E7">
              <w:rPr>
                <w:rFonts w:ascii="宋体" w:hint="eastAsia"/>
                <w:szCs w:val="21"/>
              </w:rPr>
              <w:t>。</w:t>
            </w:r>
            <w:r w:rsidR="005739E7">
              <w:rPr>
                <w:rFonts w:ascii="宋体" w:hint="eastAsia"/>
                <w:szCs w:val="21"/>
              </w:rPr>
              <w:t>现</w:t>
            </w:r>
            <w:proofErr w:type="gramStart"/>
            <w:r w:rsidR="001D6B3A" w:rsidRPr="001D6B3A">
              <w:rPr>
                <w:rFonts w:ascii="宋体" w:hint="eastAsia"/>
                <w:szCs w:val="21"/>
              </w:rPr>
              <w:t>皓世</w:t>
            </w:r>
            <w:proofErr w:type="gramEnd"/>
            <w:r w:rsidR="001D6B3A" w:rsidRPr="001D6B3A">
              <w:rPr>
                <w:rFonts w:ascii="宋体" w:hint="eastAsia"/>
                <w:szCs w:val="21"/>
              </w:rPr>
              <w:t>天</w:t>
            </w:r>
            <w:proofErr w:type="gramStart"/>
            <w:r w:rsidR="001D6B3A" w:rsidRPr="001D6B3A">
              <w:rPr>
                <w:rFonts w:ascii="宋体" w:hint="eastAsia"/>
                <w:szCs w:val="21"/>
              </w:rPr>
              <w:t>辉产品</w:t>
            </w:r>
            <w:proofErr w:type="gramEnd"/>
            <w:r w:rsidR="001D6B3A" w:rsidRPr="001D6B3A">
              <w:rPr>
                <w:rFonts w:ascii="宋体" w:hint="eastAsia"/>
                <w:szCs w:val="21"/>
              </w:rPr>
              <w:t>已在云贵川渝、江西、广东、河北、江浙沪等区域与医疗机构和经销商</w:t>
            </w:r>
            <w:r w:rsidR="00DF56E7">
              <w:rPr>
                <w:rFonts w:ascii="宋体" w:hint="eastAsia"/>
                <w:szCs w:val="21"/>
              </w:rPr>
              <w:t>达成</w:t>
            </w:r>
            <w:r w:rsidR="00DF56E7">
              <w:rPr>
                <w:rFonts w:ascii="宋体"/>
                <w:szCs w:val="21"/>
              </w:rPr>
              <w:t>部分</w:t>
            </w:r>
            <w:r w:rsidR="00DA5C3A">
              <w:rPr>
                <w:rFonts w:ascii="宋体" w:hint="eastAsia"/>
                <w:szCs w:val="21"/>
              </w:rPr>
              <w:t>初期</w:t>
            </w:r>
            <w:r w:rsidR="001D6B3A" w:rsidRPr="001D6B3A">
              <w:rPr>
                <w:rFonts w:ascii="宋体" w:hint="eastAsia"/>
                <w:szCs w:val="21"/>
              </w:rPr>
              <w:t>合作，</w:t>
            </w:r>
            <w:r w:rsidR="00A8417C">
              <w:rPr>
                <w:rFonts w:ascii="宋体" w:hint="eastAsia"/>
                <w:szCs w:val="21"/>
              </w:rPr>
              <w:t>以加速</w:t>
            </w:r>
            <w:r w:rsidR="001D6B3A" w:rsidRPr="001D6B3A">
              <w:rPr>
                <w:rFonts w:ascii="宋体" w:hint="eastAsia"/>
                <w:szCs w:val="21"/>
              </w:rPr>
              <w:t>产品规模化落地。未来，</w:t>
            </w:r>
            <w:r w:rsidR="001D6B3A">
              <w:rPr>
                <w:rFonts w:ascii="宋体" w:hint="eastAsia"/>
                <w:szCs w:val="21"/>
              </w:rPr>
              <w:t>其</w:t>
            </w:r>
            <w:r w:rsidR="001D6B3A" w:rsidRPr="001D6B3A">
              <w:rPr>
                <w:rFonts w:ascii="宋体" w:hint="eastAsia"/>
                <w:szCs w:val="21"/>
              </w:rPr>
              <w:t>将进一步拓展消费级应用，通过设备和耗材的销售，以及系统服务模式，实现可持续营收增长。</w:t>
            </w:r>
            <w:bookmarkEnd w:id="3"/>
            <w:bookmarkEnd w:id="4"/>
          </w:p>
          <w:p w14:paraId="0BF7F2D6" w14:textId="0C1C1610" w:rsidR="00E57010" w:rsidRDefault="003C4C2C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8</w:t>
            </w:r>
            <w:r w:rsidR="00293A9D">
              <w:rPr>
                <w:rFonts w:ascii="宋体" w:hint="eastAsia"/>
                <w:b/>
                <w:szCs w:val="21"/>
              </w:rPr>
              <w:t>、</w:t>
            </w:r>
            <w:r w:rsidR="00293A9D">
              <w:rPr>
                <w:rFonts w:ascii="宋体"/>
                <w:b/>
                <w:szCs w:val="21"/>
              </w:rPr>
              <w:t>公司</w:t>
            </w:r>
            <w:r w:rsidR="00293A9D">
              <w:rPr>
                <w:rFonts w:ascii="宋体" w:hint="eastAsia"/>
                <w:b/>
                <w:szCs w:val="21"/>
              </w:rPr>
              <w:t>未来还会</w:t>
            </w:r>
            <w:r w:rsidR="00293A9D">
              <w:rPr>
                <w:rFonts w:ascii="宋体"/>
                <w:b/>
                <w:szCs w:val="21"/>
              </w:rPr>
              <w:t>在</w:t>
            </w:r>
            <w:proofErr w:type="gramStart"/>
            <w:r w:rsidR="00293A9D">
              <w:rPr>
                <w:rFonts w:ascii="宋体"/>
                <w:b/>
                <w:szCs w:val="21"/>
              </w:rPr>
              <w:t>脑机接口</w:t>
            </w:r>
            <w:proofErr w:type="gramEnd"/>
            <w:r w:rsidR="00293A9D">
              <w:rPr>
                <w:rFonts w:ascii="宋体"/>
                <w:b/>
                <w:szCs w:val="21"/>
              </w:rPr>
              <w:t>领域</w:t>
            </w:r>
            <w:r w:rsidR="00293A9D">
              <w:rPr>
                <w:rFonts w:ascii="宋体" w:hint="eastAsia"/>
                <w:b/>
                <w:szCs w:val="21"/>
              </w:rPr>
              <w:t>有其他</w:t>
            </w:r>
            <w:r w:rsidR="00293A9D">
              <w:rPr>
                <w:rFonts w:ascii="宋体"/>
                <w:b/>
                <w:szCs w:val="21"/>
              </w:rPr>
              <w:t>布局</w:t>
            </w:r>
            <w:r w:rsidR="00293A9D">
              <w:rPr>
                <w:rFonts w:ascii="宋体" w:hint="eastAsia"/>
                <w:b/>
                <w:szCs w:val="21"/>
              </w:rPr>
              <w:t>吗</w:t>
            </w:r>
            <w:r w:rsidR="00293A9D">
              <w:rPr>
                <w:rFonts w:ascii="宋体"/>
                <w:b/>
                <w:szCs w:val="21"/>
              </w:rPr>
              <w:t>？</w:t>
            </w:r>
          </w:p>
          <w:p w14:paraId="675A3D8B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答：公司</w:t>
            </w:r>
            <w:r>
              <w:rPr>
                <w:rFonts w:ascii="宋体"/>
                <w:szCs w:val="21"/>
              </w:rPr>
              <w:t>认为</w:t>
            </w:r>
            <w:r>
              <w:rPr>
                <w:rFonts w:ascii="宋体" w:hint="eastAsia"/>
                <w:szCs w:val="21"/>
              </w:rPr>
              <w:t>，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产业将会是未来</w:t>
            </w:r>
            <w:proofErr w:type="gramStart"/>
            <w:r>
              <w:rPr>
                <w:rFonts w:ascii="宋体"/>
                <w:szCs w:val="21"/>
              </w:rPr>
              <w:t>医疗大</w:t>
            </w:r>
            <w:proofErr w:type="gramEnd"/>
            <w:r>
              <w:rPr>
                <w:rFonts w:ascii="宋体"/>
                <w:szCs w:val="21"/>
              </w:rPr>
              <w:t>健康</w:t>
            </w:r>
            <w:r>
              <w:rPr>
                <w:rFonts w:ascii="宋体" w:hint="eastAsia"/>
                <w:szCs w:val="21"/>
              </w:rPr>
              <w:t>赛道</w:t>
            </w:r>
            <w:r>
              <w:rPr>
                <w:rFonts w:ascii="宋体"/>
                <w:szCs w:val="21"/>
              </w:rPr>
              <w:t>中</w:t>
            </w:r>
            <w:r>
              <w:rPr>
                <w:rFonts w:ascii="宋体" w:hint="eastAsia"/>
                <w:szCs w:val="21"/>
              </w:rPr>
              <w:t>值得</w:t>
            </w:r>
            <w:r>
              <w:rPr>
                <w:rFonts w:ascii="宋体"/>
                <w:szCs w:val="21"/>
              </w:rPr>
              <w:t>长期投资的产业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并将会</w:t>
            </w:r>
            <w:r>
              <w:rPr>
                <w:rFonts w:ascii="宋体" w:hint="eastAsia"/>
                <w:szCs w:val="21"/>
              </w:rPr>
              <w:t>成为</w:t>
            </w:r>
            <w:r>
              <w:rPr>
                <w:rFonts w:ascii="宋体"/>
                <w:szCs w:val="21"/>
              </w:rPr>
              <w:t>公司</w:t>
            </w:r>
            <w:r>
              <w:rPr>
                <w:rFonts w:ascii="宋体" w:hint="eastAsia"/>
                <w:szCs w:val="21"/>
              </w:rPr>
              <w:t>在</w:t>
            </w:r>
            <w:r>
              <w:rPr>
                <w:rFonts w:ascii="宋体"/>
                <w:szCs w:val="21"/>
              </w:rPr>
              <w:t>医疗器械领域的</w:t>
            </w:r>
            <w:r>
              <w:rPr>
                <w:rFonts w:ascii="宋体" w:hint="eastAsia"/>
                <w:szCs w:val="21"/>
              </w:rPr>
              <w:t>重要</w:t>
            </w:r>
            <w:r>
              <w:rPr>
                <w:rFonts w:ascii="宋体"/>
                <w:szCs w:val="21"/>
              </w:rPr>
              <w:t>战略</w:t>
            </w:r>
            <w:r>
              <w:rPr>
                <w:rFonts w:ascii="宋体" w:hint="eastAsia"/>
                <w:szCs w:val="21"/>
              </w:rPr>
              <w:t>布局</w:t>
            </w:r>
            <w:r>
              <w:rPr>
                <w:rFonts w:ascii="宋体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随着我国政策工业和信息化部等七部门联合印发的《关于推动脑机接口产业创新发展的实施意见》明确提出，到2027年初步建立先进的技术体系、产业体系和标准体系，2030年培育2至3家有全球影响力的领军企业，为行业发展提供了明确指引。同时，</w:t>
            </w:r>
            <w:proofErr w:type="gramStart"/>
            <w:r>
              <w:rPr>
                <w:rFonts w:ascii="宋体" w:hint="eastAsia"/>
                <w:szCs w:val="21"/>
              </w:rPr>
              <w:t>十五五</w:t>
            </w:r>
            <w:proofErr w:type="gramEnd"/>
            <w:r>
              <w:rPr>
                <w:rFonts w:ascii="宋体" w:hint="eastAsia"/>
                <w:szCs w:val="21"/>
              </w:rPr>
              <w:t>规划政策也在</w:t>
            </w:r>
            <w:proofErr w:type="gramStart"/>
            <w:r>
              <w:rPr>
                <w:rFonts w:ascii="宋体" w:hint="eastAsia"/>
                <w:szCs w:val="21"/>
              </w:rPr>
              <w:t>赋能脑机市场</w:t>
            </w:r>
            <w:proofErr w:type="gramEnd"/>
            <w:r>
              <w:rPr>
                <w:rFonts w:ascii="宋体" w:hint="eastAsia"/>
                <w:szCs w:val="21"/>
              </w:rPr>
              <w:t>崛起，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升级为</w:t>
            </w:r>
            <w:proofErr w:type="gramStart"/>
            <w:r>
              <w:rPr>
                <w:rFonts w:ascii="宋体" w:hint="eastAsia"/>
                <w:szCs w:val="21"/>
              </w:rPr>
              <w:t>十五五</w:t>
            </w:r>
            <w:proofErr w:type="gramEnd"/>
            <w:r>
              <w:rPr>
                <w:rFonts w:ascii="宋体" w:hint="eastAsia"/>
                <w:szCs w:val="21"/>
              </w:rPr>
              <w:t>产业战略。公司早在2023年对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方向就有研究和探索，并于2025年战略入股杭州青石永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，成功切入侵入</w:t>
            </w:r>
            <w:proofErr w:type="gramStart"/>
            <w:r>
              <w:rPr>
                <w:rFonts w:ascii="宋体" w:hint="eastAsia"/>
                <w:szCs w:val="21"/>
              </w:rPr>
              <w:t>式脑机接口</w:t>
            </w:r>
            <w:proofErr w:type="gramEnd"/>
            <w:r>
              <w:rPr>
                <w:rFonts w:ascii="宋体" w:hint="eastAsia"/>
                <w:szCs w:val="21"/>
              </w:rPr>
              <w:t>重度难治性</w:t>
            </w:r>
            <w:r>
              <w:rPr>
                <w:rFonts w:ascii="宋体"/>
                <w:szCs w:val="21"/>
              </w:rPr>
              <w:t>抑郁症</w:t>
            </w:r>
            <w:r>
              <w:rPr>
                <w:rFonts w:ascii="宋体" w:hint="eastAsia"/>
                <w:szCs w:val="21"/>
              </w:rPr>
              <w:t>治疗领域，此次参股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 w:hint="eastAsia"/>
                <w:szCs w:val="21"/>
              </w:rPr>
              <w:t>天辉则进一步完善了公司在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领域抑郁及</w:t>
            </w:r>
            <w:r>
              <w:rPr>
                <w:rFonts w:ascii="宋体"/>
                <w:szCs w:val="21"/>
              </w:rPr>
              <w:t>焦虑症</w:t>
            </w:r>
            <w:r>
              <w:rPr>
                <w:rFonts w:ascii="宋体" w:hint="eastAsia"/>
                <w:szCs w:val="21"/>
              </w:rPr>
              <w:t>等方向</w:t>
            </w:r>
            <w:r>
              <w:rPr>
                <w:rFonts w:ascii="宋体"/>
                <w:szCs w:val="21"/>
              </w:rPr>
              <w:t>的检测和治疗</w:t>
            </w:r>
            <w:r>
              <w:rPr>
                <w:rFonts w:ascii="宋体" w:hint="eastAsia"/>
                <w:szCs w:val="21"/>
              </w:rPr>
              <w:t>布局。今后，公司将</w:t>
            </w:r>
            <w:r>
              <w:rPr>
                <w:rFonts w:ascii="宋体"/>
                <w:szCs w:val="21"/>
              </w:rPr>
              <w:t>继续坚定</w:t>
            </w:r>
            <w:r>
              <w:rPr>
                <w:rFonts w:ascii="宋体" w:hint="eastAsia"/>
                <w:szCs w:val="21"/>
              </w:rPr>
              <w:t>在</w:t>
            </w:r>
            <w:proofErr w:type="gramStart"/>
            <w:r>
              <w:rPr>
                <w:rFonts w:ascii="宋体"/>
                <w:szCs w:val="21"/>
              </w:rPr>
              <w:t>脑机接口</w:t>
            </w:r>
            <w:proofErr w:type="gramEnd"/>
            <w:r>
              <w:rPr>
                <w:rFonts w:ascii="宋体"/>
                <w:szCs w:val="21"/>
              </w:rPr>
              <w:t>领域</w:t>
            </w:r>
            <w:r>
              <w:rPr>
                <w:rFonts w:ascii="宋体" w:hint="eastAsia"/>
                <w:szCs w:val="21"/>
              </w:rPr>
              <w:t>的战略布局</w:t>
            </w:r>
            <w:r>
              <w:rPr>
                <w:rFonts w:ascii="宋体"/>
                <w:szCs w:val="21"/>
              </w:rPr>
              <w:t>规划，</w:t>
            </w:r>
            <w:r>
              <w:rPr>
                <w:rFonts w:ascii="宋体" w:hint="eastAsia"/>
                <w:szCs w:val="21"/>
              </w:rPr>
              <w:t>一方面公司</w:t>
            </w:r>
            <w:r>
              <w:rPr>
                <w:rFonts w:ascii="宋体"/>
                <w:szCs w:val="21"/>
              </w:rPr>
              <w:t>通过</w:t>
            </w:r>
            <w:r>
              <w:rPr>
                <w:rFonts w:ascii="宋体" w:hint="eastAsia"/>
                <w:szCs w:val="21"/>
              </w:rPr>
              <w:t>旗下产投</w:t>
            </w:r>
            <w:r>
              <w:rPr>
                <w:rFonts w:ascii="宋体"/>
                <w:szCs w:val="21"/>
              </w:rPr>
              <w:t>平台</w:t>
            </w:r>
            <w:r>
              <w:rPr>
                <w:rFonts w:ascii="宋体" w:hint="eastAsia"/>
                <w:szCs w:val="21"/>
              </w:rPr>
              <w:t>以</w:t>
            </w:r>
            <w:r>
              <w:rPr>
                <w:rFonts w:ascii="宋体"/>
                <w:szCs w:val="21"/>
              </w:rPr>
              <w:t>自有资金进行参股</w:t>
            </w:r>
            <w:r>
              <w:rPr>
                <w:rFonts w:ascii="宋体" w:hint="eastAsia"/>
                <w:szCs w:val="21"/>
              </w:rPr>
              <w:t>或并购等方式深度参与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产业，赋能被投</w:t>
            </w:r>
            <w:r>
              <w:rPr>
                <w:rFonts w:ascii="宋体"/>
                <w:szCs w:val="21"/>
              </w:rPr>
              <w:t>企业</w:t>
            </w:r>
            <w:r>
              <w:rPr>
                <w:rFonts w:ascii="宋体" w:hint="eastAsia"/>
                <w:szCs w:val="21"/>
              </w:rPr>
              <w:t>加速产品产业</w:t>
            </w:r>
            <w:r>
              <w:rPr>
                <w:rFonts w:ascii="宋体"/>
                <w:szCs w:val="21"/>
              </w:rPr>
              <w:t>及</w:t>
            </w:r>
            <w:r>
              <w:rPr>
                <w:rFonts w:ascii="宋体" w:hint="eastAsia"/>
                <w:szCs w:val="21"/>
              </w:rPr>
              <w:t>商业化进程，构建公司协同发展的医疗健康生态链；另一方面，公司拟通过设立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产业基金，借助专业投资机构的力量及资源优势，加快推动公司在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、脑神经科学领域的产业链布局。</w:t>
            </w:r>
          </w:p>
          <w:p w14:paraId="730A48EE" w14:textId="2CA2D388" w:rsidR="00E57010" w:rsidRDefault="003C4C2C">
            <w:pPr>
              <w:spacing w:beforeLines="50" w:before="156"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9</w:t>
            </w:r>
            <w:r w:rsidR="00293A9D">
              <w:rPr>
                <w:rFonts w:ascii="宋体" w:hint="eastAsia"/>
                <w:b/>
                <w:szCs w:val="21"/>
              </w:rPr>
              <w:t>、能否介绍下公司设立</w:t>
            </w:r>
            <w:proofErr w:type="gramStart"/>
            <w:r w:rsidR="00293A9D">
              <w:rPr>
                <w:rFonts w:ascii="宋体"/>
                <w:b/>
                <w:szCs w:val="21"/>
              </w:rPr>
              <w:t>脑机接口</w:t>
            </w:r>
            <w:proofErr w:type="gramEnd"/>
            <w:r w:rsidR="00293A9D">
              <w:rPr>
                <w:rFonts w:ascii="宋体" w:hint="eastAsia"/>
                <w:b/>
                <w:szCs w:val="21"/>
              </w:rPr>
              <w:t>产业基金的相关情况？</w:t>
            </w:r>
          </w:p>
          <w:p w14:paraId="038D2D41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答：近日，公司</w:t>
            </w:r>
            <w:r>
              <w:rPr>
                <w:rFonts w:ascii="宋体"/>
                <w:szCs w:val="21"/>
              </w:rPr>
              <w:t>董事会审议</w:t>
            </w:r>
            <w:r>
              <w:rPr>
                <w:rFonts w:ascii="宋体" w:hint="eastAsia"/>
                <w:szCs w:val="21"/>
              </w:rPr>
              <w:t>通过，</w:t>
            </w:r>
            <w:r>
              <w:rPr>
                <w:rFonts w:ascii="宋体"/>
                <w:szCs w:val="21"/>
              </w:rPr>
              <w:t>拟</w:t>
            </w:r>
            <w:r>
              <w:rPr>
                <w:rFonts w:ascii="宋体" w:hint="eastAsia"/>
                <w:szCs w:val="21"/>
              </w:rPr>
              <w:t>与专业投资机构共同投资设立</w:t>
            </w:r>
            <w:proofErr w:type="gramStart"/>
            <w:r>
              <w:rPr>
                <w:rFonts w:ascii="宋体" w:hint="eastAsia"/>
                <w:szCs w:val="21"/>
              </w:rPr>
              <w:t>脑机</w:t>
            </w:r>
            <w:r>
              <w:rPr>
                <w:rFonts w:ascii="宋体"/>
                <w:szCs w:val="21"/>
              </w:rPr>
              <w:t>接口</w:t>
            </w:r>
            <w:proofErr w:type="gramEnd"/>
            <w:r>
              <w:rPr>
                <w:rFonts w:ascii="宋体" w:hint="eastAsia"/>
                <w:szCs w:val="21"/>
              </w:rPr>
              <w:t>及</w:t>
            </w:r>
            <w:r>
              <w:rPr>
                <w:rFonts w:ascii="宋体"/>
                <w:szCs w:val="21"/>
              </w:rPr>
              <w:t>脑科学专项</w:t>
            </w:r>
            <w:r>
              <w:rPr>
                <w:rFonts w:ascii="宋体" w:hint="eastAsia"/>
                <w:szCs w:val="21"/>
              </w:rPr>
              <w:t>产业基金</w:t>
            </w:r>
            <w:r>
              <w:rPr>
                <w:rFonts w:ascii="宋体"/>
                <w:szCs w:val="21"/>
              </w:rPr>
              <w:t>，通过</w:t>
            </w:r>
            <w:r>
              <w:rPr>
                <w:rFonts w:ascii="宋体" w:hint="eastAsia"/>
                <w:szCs w:val="21"/>
              </w:rPr>
              <w:t>借助专业投资机构的力量及资源优势，以进一步加快推动公司以脑机接口作为</w:t>
            </w:r>
            <w:r>
              <w:rPr>
                <w:rFonts w:ascii="宋体"/>
                <w:szCs w:val="21"/>
              </w:rPr>
              <w:t>战略</w:t>
            </w:r>
            <w:r>
              <w:rPr>
                <w:rFonts w:ascii="宋体" w:hint="eastAsia"/>
                <w:szCs w:val="21"/>
              </w:rPr>
              <w:t>布局的</w:t>
            </w:r>
            <w:r>
              <w:rPr>
                <w:rFonts w:ascii="宋体"/>
                <w:szCs w:val="21"/>
              </w:rPr>
              <w:t>规划</w:t>
            </w:r>
            <w:r>
              <w:rPr>
                <w:rFonts w:ascii="宋体" w:hint="eastAsia"/>
                <w:szCs w:val="21"/>
              </w:rPr>
              <w:t>。该基金的总规模为2亿元，以具有丰富</w:t>
            </w:r>
            <w:r>
              <w:rPr>
                <w:rFonts w:ascii="宋体"/>
                <w:szCs w:val="21"/>
              </w:rPr>
              <w:t>的投资经验并</w:t>
            </w:r>
            <w:r>
              <w:rPr>
                <w:rFonts w:ascii="宋体" w:hint="eastAsia"/>
                <w:szCs w:val="21"/>
              </w:rPr>
              <w:t>在</w:t>
            </w:r>
            <w:proofErr w:type="gramStart"/>
            <w:r>
              <w:rPr>
                <w:rFonts w:ascii="宋体"/>
                <w:szCs w:val="21"/>
              </w:rPr>
              <w:t>脑机接口</w:t>
            </w:r>
            <w:proofErr w:type="gramEnd"/>
            <w:r>
              <w:rPr>
                <w:rFonts w:ascii="宋体"/>
                <w:szCs w:val="21"/>
              </w:rPr>
              <w:t>领域有深入研究</w:t>
            </w:r>
            <w:r>
              <w:rPr>
                <w:rFonts w:ascii="宋体" w:hint="eastAsia"/>
                <w:szCs w:val="21"/>
              </w:rPr>
              <w:t>的</w:t>
            </w:r>
            <w:r>
              <w:rPr>
                <w:rFonts w:ascii="宋体"/>
                <w:szCs w:val="21"/>
              </w:rPr>
              <w:t>专业投资机构</w:t>
            </w:r>
            <w:r>
              <w:rPr>
                <w:rFonts w:ascii="宋体" w:hint="eastAsia"/>
                <w:szCs w:val="21"/>
              </w:rPr>
              <w:t>作为GP，在不影响公司日常经营和发展、有效控制投资风险的前提下，公司作为有限合伙人以自有资金认缴出资1.9亿元，占基金总认缴出资金额的95%，公司首期出资金额为5,000万元，剩余认缴出资将按照项目投资情况</w:t>
            </w:r>
            <w:r>
              <w:rPr>
                <w:rFonts w:ascii="宋体"/>
                <w:szCs w:val="21"/>
              </w:rPr>
              <w:t>及</w:t>
            </w:r>
            <w:r>
              <w:rPr>
                <w:rFonts w:ascii="宋体" w:hint="eastAsia"/>
                <w:szCs w:val="21"/>
              </w:rPr>
              <w:t>实际需要进行</w:t>
            </w:r>
            <w:r>
              <w:rPr>
                <w:rFonts w:ascii="宋体"/>
                <w:szCs w:val="21"/>
              </w:rPr>
              <w:t>缴付</w:t>
            </w:r>
            <w:r>
              <w:rPr>
                <w:rFonts w:ascii="宋体" w:hint="eastAsia"/>
                <w:szCs w:val="21"/>
              </w:rPr>
              <w:t>。该</w:t>
            </w:r>
            <w:r>
              <w:rPr>
                <w:rFonts w:ascii="宋体"/>
                <w:szCs w:val="21"/>
              </w:rPr>
              <w:t>基金投资范围</w:t>
            </w:r>
            <w:r>
              <w:rPr>
                <w:rFonts w:ascii="宋体" w:hint="eastAsia"/>
                <w:szCs w:val="21"/>
              </w:rPr>
              <w:t>为</w:t>
            </w:r>
            <w:r>
              <w:rPr>
                <w:rFonts w:ascii="宋体" w:hint="eastAsia"/>
                <w:szCs w:val="21"/>
              </w:rPr>
              <w:lastRenderedPageBreak/>
              <w:t>境内</w:t>
            </w:r>
            <w:proofErr w:type="gramStart"/>
            <w:r>
              <w:rPr>
                <w:rFonts w:ascii="宋体" w:hint="eastAsia"/>
                <w:szCs w:val="21"/>
              </w:rPr>
              <w:t>外脑机接口</w:t>
            </w:r>
            <w:proofErr w:type="gramEnd"/>
            <w:r>
              <w:rPr>
                <w:rFonts w:ascii="宋体" w:hint="eastAsia"/>
                <w:szCs w:val="21"/>
              </w:rPr>
              <w:t>及脑科学相关产业</w:t>
            </w:r>
            <w:proofErr w:type="gramStart"/>
            <w:r>
              <w:rPr>
                <w:rFonts w:ascii="宋体" w:hint="eastAsia"/>
                <w:szCs w:val="21"/>
              </w:rPr>
              <w:t>链领域</w:t>
            </w:r>
            <w:proofErr w:type="gramEnd"/>
            <w:r>
              <w:rPr>
                <w:rFonts w:ascii="宋体" w:hint="eastAsia"/>
                <w:szCs w:val="21"/>
              </w:rPr>
              <w:t>的未上市企业，通过拓展在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、脑神经科学领域的产业布局，促进优势资源共享整合，实现产业与资本融合，实现资本增值的</w:t>
            </w:r>
            <w:r>
              <w:rPr>
                <w:rFonts w:ascii="宋体"/>
                <w:szCs w:val="21"/>
              </w:rPr>
              <w:t>同时</w:t>
            </w:r>
            <w:r>
              <w:rPr>
                <w:rFonts w:ascii="宋体" w:hint="eastAsia"/>
                <w:szCs w:val="21"/>
              </w:rPr>
              <w:t>，为公司的战略发展目标服务，从而更好的实现公司长期持续发展。</w:t>
            </w:r>
          </w:p>
          <w:p w14:paraId="3E876CBD" w14:textId="77777777" w:rsidR="00E57010" w:rsidRDefault="00293A9D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该产业基金尚未获得相关部门的备案，且投资项目能否顺利推进尚存在较大不确定性，敬请投资者注意投资风险。</w:t>
            </w:r>
          </w:p>
          <w:p w14:paraId="37A89AB0" w14:textId="77777777" w:rsidR="00E57010" w:rsidRDefault="00293A9D">
            <w:pPr>
              <w:spacing w:beforeLines="50" w:before="156"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特别提示：公司持有青石永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股权较低，仅为5%（投后），青石永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尚未取得三类医疗器械注册证书，距商业化尚早；公司持有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 w:hint="eastAsia"/>
                <w:szCs w:val="21"/>
              </w:rPr>
              <w:t>天辉股权16%，</w:t>
            </w:r>
            <w:proofErr w:type="gramStart"/>
            <w:r>
              <w:rPr>
                <w:rFonts w:ascii="宋体" w:hint="eastAsia"/>
                <w:szCs w:val="21"/>
              </w:rPr>
              <w:t>皓世</w:t>
            </w:r>
            <w:proofErr w:type="gramEnd"/>
            <w:r>
              <w:rPr>
                <w:rFonts w:ascii="宋体" w:hint="eastAsia"/>
                <w:szCs w:val="21"/>
              </w:rPr>
              <w:t>天</w:t>
            </w:r>
            <w:proofErr w:type="gramStart"/>
            <w:r>
              <w:rPr>
                <w:rFonts w:ascii="宋体" w:hint="eastAsia"/>
                <w:szCs w:val="21"/>
              </w:rPr>
              <w:t>辉相关</w:t>
            </w:r>
            <w:proofErr w:type="gramEnd"/>
            <w:r>
              <w:rPr>
                <w:rFonts w:ascii="宋体" w:hint="eastAsia"/>
                <w:szCs w:val="21"/>
              </w:rPr>
              <w:t>产品尚处于市场推广和销售初期，产品能否得到市场认可和规模化量产销售，存在重大不确定性风险。敬请投资者注意投资风险。</w:t>
            </w:r>
          </w:p>
        </w:tc>
      </w:tr>
      <w:tr w:rsidR="00E57010" w14:paraId="62C27144" w14:textId="77777777">
        <w:trPr>
          <w:trHeight w:val="557"/>
          <w:jc w:val="center"/>
        </w:trPr>
        <w:tc>
          <w:tcPr>
            <w:tcW w:w="1229" w:type="dxa"/>
            <w:vAlign w:val="center"/>
          </w:tcPr>
          <w:p w14:paraId="766122A6" w14:textId="77777777" w:rsidR="00E57010" w:rsidRDefault="00293A9D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716" w:type="dxa"/>
            <w:vAlign w:val="center"/>
          </w:tcPr>
          <w:p w14:paraId="3AA0AED1" w14:textId="77777777" w:rsidR="00E57010" w:rsidRDefault="00293A9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不涉及</w:t>
            </w:r>
          </w:p>
        </w:tc>
      </w:tr>
      <w:tr w:rsidR="00E57010" w14:paraId="46D9AF18" w14:textId="77777777">
        <w:trPr>
          <w:trHeight w:val="557"/>
          <w:jc w:val="center"/>
        </w:trPr>
        <w:tc>
          <w:tcPr>
            <w:tcW w:w="1229" w:type="dxa"/>
            <w:vAlign w:val="center"/>
          </w:tcPr>
          <w:p w14:paraId="686DB1D7" w14:textId="77777777" w:rsidR="00E57010" w:rsidRDefault="00293A9D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附件清单（如）</w:t>
            </w:r>
          </w:p>
        </w:tc>
        <w:tc>
          <w:tcPr>
            <w:tcW w:w="6716" w:type="dxa"/>
            <w:vAlign w:val="center"/>
          </w:tcPr>
          <w:p w14:paraId="2B68B751" w14:textId="77777777" w:rsidR="00E57010" w:rsidRDefault="00293A9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E57010" w14:paraId="10008931" w14:textId="77777777">
        <w:trPr>
          <w:trHeight w:val="557"/>
          <w:jc w:val="center"/>
        </w:trPr>
        <w:tc>
          <w:tcPr>
            <w:tcW w:w="1229" w:type="dxa"/>
            <w:vAlign w:val="center"/>
          </w:tcPr>
          <w:p w14:paraId="0034446D" w14:textId="77777777" w:rsidR="00E57010" w:rsidRDefault="00293A9D">
            <w:pPr>
              <w:spacing w:beforeLines="25" w:before="78" w:afterLines="25" w:after="78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6" w:type="dxa"/>
            <w:vAlign w:val="center"/>
          </w:tcPr>
          <w:p w14:paraId="6FB8F097" w14:textId="77777777" w:rsidR="00E57010" w:rsidRDefault="00293A9D">
            <w:pPr>
              <w:spacing w:line="360" w:lineRule="auto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026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年</w:t>
            </w:r>
            <w:r>
              <w:rPr>
                <w:rFonts w:ascii="宋体" w:hAnsi="宋体"/>
                <w:i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月</w:t>
            </w:r>
          </w:p>
        </w:tc>
      </w:tr>
    </w:tbl>
    <w:p w14:paraId="732A0F8F" w14:textId="77777777" w:rsidR="00E57010" w:rsidRDefault="00E57010"/>
    <w:p w14:paraId="6D3FABB5" w14:textId="77777777" w:rsidR="00E57010" w:rsidRDefault="00E57010"/>
    <w:sectPr w:rsidR="00E5701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4DE6" w14:textId="77777777" w:rsidR="006342BC" w:rsidRDefault="006342BC">
      <w:r>
        <w:separator/>
      </w:r>
    </w:p>
  </w:endnote>
  <w:endnote w:type="continuationSeparator" w:id="0">
    <w:p w14:paraId="5CDA02F7" w14:textId="77777777" w:rsidR="006342BC" w:rsidRDefault="0063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8A762" w14:textId="77777777" w:rsidR="006342BC" w:rsidRDefault="006342BC">
      <w:r>
        <w:separator/>
      </w:r>
    </w:p>
  </w:footnote>
  <w:footnote w:type="continuationSeparator" w:id="0">
    <w:p w14:paraId="0D2A4DB5" w14:textId="77777777" w:rsidR="006342BC" w:rsidRDefault="0063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CA9D1" w14:textId="77777777" w:rsidR="00E57010" w:rsidRDefault="00293A9D">
    <w:pPr>
      <w:pStyle w:val="aa"/>
      <w:tabs>
        <w:tab w:val="clear" w:pos="4153"/>
      </w:tabs>
      <w:wordWrap w:val="0"/>
      <w:jc w:val="right"/>
    </w:pPr>
    <w:proofErr w:type="gramStart"/>
    <w:r>
      <w:rPr>
        <w:rFonts w:hint="eastAsia"/>
      </w:rPr>
      <w:t>杭州博拓生物</w:t>
    </w:r>
    <w:proofErr w:type="gramEnd"/>
    <w:r>
      <w:rPr>
        <w:rFonts w:hint="eastAsia"/>
      </w:rPr>
      <w:t>科技股份有限公司</w:t>
    </w:r>
    <w:r>
      <w:rPr>
        <w:rFonts w:hint="eastAsia"/>
      </w:rPr>
      <w:t xml:space="preserve">  </w:t>
    </w:r>
    <w:r>
      <w:t xml:space="preserve">                                          </w:t>
    </w:r>
    <w:r>
      <w:rPr>
        <w:rFonts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BD1D20"/>
    <w:rsid w:val="0000103D"/>
    <w:rsid w:val="00010F6E"/>
    <w:rsid w:val="00016D6F"/>
    <w:rsid w:val="00021CFE"/>
    <w:rsid w:val="00026804"/>
    <w:rsid w:val="00043C40"/>
    <w:rsid w:val="00044E5C"/>
    <w:rsid w:val="000562DA"/>
    <w:rsid w:val="000639D6"/>
    <w:rsid w:val="0006657D"/>
    <w:rsid w:val="00074C2E"/>
    <w:rsid w:val="00083F62"/>
    <w:rsid w:val="00090648"/>
    <w:rsid w:val="000B4B7C"/>
    <w:rsid w:val="000C1D27"/>
    <w:rsid w:val="000D012F"/>
    <w:rsid w:val="000E3880"/>
    <w:rsid w:val="000F4B95"/>
    <w:rsid w:val="0012690D"/>
    <w:rsid w:val="001322C1"/>
    <w:rsid w:val="001626D5"/>
    <w:rsid w:val="00177575"/>
    <w:rsid w:val="00184EA7"/>
    <w:rsid w:val="001A700C"/>
    <w:rsid w:val="001B4850"/>
    <w:rsid w:val="001B4F8E"/>
    <w:rsid w:val="001B565E"/>
    <w:rsid w:val="001B69C3"/>
    <w:rsid w:val="001B775F"/>
    <w:rsid w:val="001C6C3F"/>
    <w:rsid w:val="001D6B3A"/>
    <w:rsid w:val="00201276"/>
    <w:rsid w:val="002018E5"/>
    <w:rsid w:val="0020674C"/>
    <w:rsid w:val="00211658"/>
    <w:rsid w:val="00217E64"/>
    <w:rsid w:val="00224606"/>
    <w:rsid w:val="002256FE"/>
    <w:rsid w:val="00242D17"/>
    <w:rsid w:val="00247F6F"/>
    <w:rsid w:val="00251794"/>
    <w:rsid w:val="0025727C"/>
    <w:rsid w:val="002637BE"/>
    <w:rsid w:val="00265FEF"/>
    <w:rsid w:val="00276C86"/>
    <w:rsid w:val="00291397"/>
    <w:rsid w:val="00293A9D"/>
    <w:rsid w:val="002A24CE"/>
    <w:rsid w:val="002C1A9D"/>
    <w:rsid w:val="002C318E"/>
    <w:rsid w:val="002D05DE"/>
    <w:rsid w:val="002D3278"/>
    <w:rsid w:val="002E0B56"/>
    <w:rsid w:val="002E2D3F"/>
    <w:rsid w:val="002F08AF"/>
    <w:rsid w:val="003052F8"/>
    <w:rsid w:val="003212F2"/>
    <w:rsid w:val="0034142C"/>
    <w:rsid w:val="00354386"/>
    <w:rsid w:val="003566B3"/>
    <w:rsid w:val="00363FAB"/>
    <w:rsid w:val="00364F7A"/>
    <w:rsid w:val="003706CD"/>
    <w:rsid w:val="00370E59"/>
    <w:rsid w:val="0037689E"/>
    <w:rsid w:val="003802A1"/>
    <w:rsid w:val="003869EE"/>
    <w:rsid w:val="00391E87"/>
    <w:rsid w:val="003A576C"/>
    <w:rsid w:val="003B1FF7"/>
    <w:rsid w:val="003C4C2C"/>
    <w:rsid w:val="003D05AD"/>
    <w:rsid w:val="003D0951"/>
    <w:rsid w:val="003D78CE"/>
    <w:rsid w:val="003E13A3"/>
    <w:rsid w:val="003E4755"/>
    <w:rsid w:val="003F0ECB"/>
    <w:rsid w:val="003F28EB"/>
    <w:rsid w:val="004102A7"/>
    <w:rsid w:val="00423F2C"/>
    <w:rsid w:val="00430F08"/>
    <w:rsid w:val="00434AEF"/>
    <w:rsid w:val="004468DB"/>
    <w:rsid w:val="00455173"/>
    <w:rsid w:val="0045586A"/>
    <w:rsid w:val="00463D26"/>
    <w:rsid w:val="00471429"/>
    <w:rsid w:val="004807D0"/>
    <w:rsid w:val="00493207"/>
    <w:rsid w:val="004964C0"/>
    <w:rsid w:val="004A20AD"/>
    <w:rsid w:val="004C705B"/>
    <w:rsid w:val="004F037E"/>
    <w:rsid w:val="004F29FA"/>
    <w:rsid w:val="004F60BE"/>
    <w:rsid w:val="005250D9"/>
    <w:rsid w:val="0053722D"/>
    <w:rsid w:val="00542239"/>
    <w:rsid w:val="0054748E"/>
    <w:rsid w:val="00551C50"/>
    <w:rsid w:val="005642FA"/>
    <w:rsid w:val="00566CB3"/>
    <w:rsid w:val="005739E7"/>
    <w:rsid w:val="005772BA"/>
    <w:rsid w:val="005A152C"/>
    <w:rsid w:val="005C0B44"/>
    <w:rsid w:val="005C33D6"/>
    <w:rsid w:val="005D4BD7"/>
    <w:rsid w:val="005D5DC7"/>
    <w:rsid w:val="005F2EC0"/>
    <w:rsid w:val="00610877"/>
    <w:rsid w:val="006141C2"/>
    <w:rsid w:val="006153B6"/>
    <w:rsid w:val="00630E4F"/>
    <w:rsid w:val="006337E3"/>
    <w:rsid w:val="0063422D"/>
    <w:rsid w:val="006342BC"/>
    <w:rsid w:val="00637D0C"/>
    <w:rsid w:val="00641D54"/>
    <w:rsid w:val="006522C4"/>
    <w:rsid w:val="00657FDC"/>
    <w:rsid w:val="0066107E"/>
    <w:rsid w:val="0066369C"/>
    <w:rsid w:val="00671682"/>
    <w:rsid w:val="00674360"/>
    <w:rsid w:val="00674FE7"/>
    <w:rsid w:val="00690617"/>
    <w:rsid w:val="00690AE9"/>
    <w:rsid w:val="006977B4"/>
    <w:rsid w:val="006B25C5"/>
    <w:rsid w:val="006B2913"/>
    <w:rsid w:val="006C1B93"/>
    <w:rsid w:val="0070607F"/>
    <w:rsid w:val="00706541"/>
    <w:rsid w:val="00707E50"/>
    <w:rsid w:val="00722F90"/>
    <w:rsid w:val="00723D86"/>
    <w:rsid w:val="007376EE"/>
    <w:rsid w:val="007410BA"/>
    <w:rsid w:val="00744D8D"/>
    <w:rsid w:val="00750ABD"/>
    <w:rsid w:val="007534A0"/>
    <w:rsid w:val="0075389C"/>
    <w:rsid w:val="007553DA"/>
    <w:rsid w:val="00761FA5"/>
    <w:rsid w:val="007A7BAA"/>
    <w:rsid w:val="007C312C"/>
    <w:rsid w:val="007D739C"/>
    <w:rsid w:val="007E4A99"/>
    <w:rsid w:val="007F76C6"/>
    <w:rsid w:val="00817403"/>
    <w:rsid w:val="008222EB"/>
    <w:rsid w:val="00827713"/>
    <w:rsid w:val="00833ABE"/>
    <w:rsid w:val="00850A65"/>
    <w:rsid w:val="00852794"/>
    <w:rsid w:val="00857B1A"/>
    <w:rsid w:val="0086471B"/>
    <w:rsid w:val="008850D1"/>
    <w:rsid w:val="00897299"/>
    <w:rsid w:val="008A4596"/>
    <w:rsid w:val="008A5B69"/>
    <w:rsid w:val="008B5A9C"/>
    <w:rsid w:val="008C23E8"/>
    <w:rsid w:val="008E5063"/>
    <w:rsid w:val="008F051F"/>
    <w:rsid w:val="008F2EB1"/>
    <w:rsid w:val="008F658B"/>
    <w:rsid w:val="00903273"/>
    <w:rsid w:val="00903428"/>
    <w:rsid w:val="009061D6"/>
    <w:rsid w:val="0090742D"/>
    <w:rsid w:val="00921807"/>
    <w:rsid w:val="00924EF9"/>
    <w:rsid w:val="00926A4F"/>
    <w:rsid w:val="00927BC8"/>
    <w:rsid w:val="00930B0F"/>
    <w:rsid w:val="009420A4"/>
    <w:rsid w:val="00956FF7"/>
    <w:rsid w:val="00961673"/>
    <w:rsid w:val="00970CC9"/>
    <w:rsid w:val="00986739"/>
    <w:rsid w:val="009876D3"/>
    <w:rsid w:val="00991A88"/>
    <w:rsid w:val="00992183"/>
    <w:rsid w:val="00997AEE"/>
    <w:rsid w:val="00997CC9"/>
    <w:rsid w:val="009A037B"/>
    <w:rsid w:val="009A27A9"/>
    <w:rsid w:val="009A4204"/>
    <w:rsid w:val="009A4E32"/>
    <w:rsid w:val="009B39E0"/>
    <w:rsid w:val="009B3D4A"/>
    <w:rsid w:val="009C150F"/>
    <w:rsid w:val="009C4394"/>
    <w:rsid w:val="009D44D4"/>
    <w:rsid w:val="009D524C"/>
    <w:rsid w:val="00A126B0"/>
    <w:rsid w:val="00A130B7"/>
    <w:rsid w:val="00A14C5A"/>
    <w:rsid w:val="00A17E6C"/>
    <w:rsid w:val="00A2166C"/>
    <w:rsid w:val="00A3099F"/>
    <w:rsid w:val="00A32CBB"/>
    <w:rsid w:val="00A41B20"/>
    <w:rsid w:val="00A52859"/>
    <w:rsid w:val="00A53D01"/>
    <w:rsid w:val="00A625BD"/>
    <w:rsid w:val="00A724A4"/>
    <w:rsid w:val="00A8417C"/>
    <w:rsid w:val="00AB032C"/>
    <w:rsid w:val="00AD14BE"/>
    <w:rsid w:val="00AF5DA8"/>
    <w:rsid w:val="00B04316"/>
    <w:rsid w:val="00B125A3"/>
    <w:rsid w:val="00B2100F"/>
    <w:rsid w:val="00B31226"/>
    <w:rsid w:val="00B31F9F"/>
    <w:rsid w:val="00B376CD"/>
    <w:rsid w:val="00B40F49"/>
    <w:rsid w:val="00B4372F"/>
    <w:rsid w:val="00B50491"/>
    <w:rsid w:val="00B57B44"/>
    <w:rsid w:val="00B73A33"/>
    <w:rsid w:val="00BA1C9F"/>
    <w:rsid w:val="00BA7AD0"/>
    <w:rsid w:val="00BC2130"/>
    <w:rsid w:val="00BC5BA3"/>
    <w:rsid w:val="00BD1D20"/>
    <w:rsid w:val="00BD4D35"/>
    <w:rsid w:val="00BD6B6C"/>
    <w:rsid w:val="00BE6BF7"/>
    <w:rsid w:val="00BF0DE2"/>
    <w:rsid w:val="00C023CE"/>
    <w:rsid w:val="00C23E89"/>
    <w:rsid w:val="00C31D74"/>
    <w:rsid w:val="00C3678B"/>
    <w:rsid w:val="00C528BD"/>
    <w:rsid w:val="00C52D10"/>
    <w:rsid w:val="00C54C6D"/>
    <w:rsid w:val="00C61C95"/>
    <w:rsid w:val="00C667AF"/>
    <w:rsid w:val="00C83E9D"/>
    <w:rsid w:val="00C84ACF"/>
    <w:rsid w:val="00C95DAD"/>
    <w:rsid w:val="00CB315C"/>
    <w:rsid w:val="00CB317D"/>
    <w:rsid w:val="00CB72CB"/>
    <w:rsid w:val="00CD1123"/>
    <w:rsid w:val="00CE02C5"/>
    <w:rsid w:val="00CF2BD5"/>
    <w:rsid w:val="00CF390C"/>
    <w:rsid w:val="00D412E0"/>
    <w:rsid w:val="00D476FF"/>
    <w:rsid w:val="00D5004D"/>
    <w:rsid w:val="00D803C3"/>
    <w:rsid w:val="00D94DB9"/>
    <w:rsid w:val="00D97475"/>
    <w:rsid w:val="00DA5C3A"/>
    <w:rsid w:val="00DA797D"/>
    <w:rsid w:val="00DB0461"/>
    <w:rsid w:val="00DB0D0E"/>
    <w:rsid w:val="00DB0FC6"/>
    <w:rsid w:val="00DB190F"/>
    <w:rsid w:val="00DD177E"/>
    <w:rsid w:val="00DD4434"/>
    <w:rsid w:val="00DD5DD4"/>
    <w:rsid w:val="00DE1D9C"/>
    <w:rsid w:val="00DE473B"/>
    <w:rsid w:val="00DE6692"/>
    <w:rsid w:val="00DF01E1"/>
    <w:rsid w:val="00DF56E7"/>
    <w:rsid w:val="00E01CAB"/>
    <w:rsid w:val="00E14C2C"/>
    <w:rsid w:val="00E17296"/>
    <w:rsid w:val="00E17769"/>
    <w:rsid w:val="00E225A5"/>
    <w:rsid w:val="00E25F23"/>
    <w:rsid w:val="00E42664"/>
    <w:rsid w:val="00E4292B"/>
    <w:rsid w:val="00E45618"/>
    <w:rsid w:val="00E57010"/>
    <w:rsid w:val="00E6738A"/>
    <w:rsid w:val="00E71C16"/>
    <w:rsid w:val="00E84F8B"/>
    <w:rsid w:val="00E916E4"/>
    <w:rsid w:val="00EA087D"/>
    <w:rsid w:val="00EA1474"/>
    <w:rsid w:val="00EA6AD0"/>
    <w:rsid w:val="00EB087C"/>
    <w:rsid w:val="00EB33BB"/>
    <w:rsid w:val="00EC17F3"/>
    <w:rsid w:val="00EC1D7B"/>
    <w:rsid w:val="00ED071B"/>
    <w:rsid w:val="00EF4994"/>
    <w:rsid w:val="00F10AA7"/>
    <w:rsid w:val="00F13AB1"/>
    <w:rsid w:val="00F26082"/>
    <w:rsid w:val="00F35575"/>
    <w:rsid w:val="00F439E4"/>
    <w:rsid w:val="00F52A30"/>
    <w:rsid w:val="00F54946"/>
    <w:rsid w:val="00F56488"/>
    <w:rsid w:val="00F60889"/>
    <w:rsid w:val="00F64DAE"/>
    <w:rsid w:val="00F7055B"/>
    <w:rsid w:val="00F718C2"/>
    <w:rsid w:val="00F7230D"/>
    <w:rsid w:val="00F73F07"/>
    <w:rsid w:val="00F92D93"/>
    <w:rsid w:val="00FB55F3"/>
    <w:rsid w:val="00FC000D"/>
    <w:rsid w:val="00FC2F7E"/>
    <w:rsid w:val="00FC3923"/>
    <w:rsid w:val="00FC7B1D"/>
    <w:rsid w:val="00FE0215"/>
    <w:rsid w:val="00FE0B25"/>
    <w:rsid w:val="00FF2B7E"/>
    <w:rsid w:val="0313544C"/>
    <w:rsid w:val="04243DB5"/>
    <w:rsid w:val="071719AF"/>
    <w:rsid w:val="09D771D4"/>
    <w:rsid w:val="09D8257E"/>
    <w:rsid w:val="0FB029A1"/>
    <w:rsid w:val="105A290D"/>
    <w:rsid w:val="11850372"/>
    <w:rsid w:val="14ED3D4F"/>
    <w:rsid w:val="1CB2496B"/>
    <w:rsid w:val="1E1B36DB"/>
    <w:rsid w:val="1F5C3FAB"/>
    <w:rsid w:val="219D08AB"/>
    <w:rsid w:val="25893620"/>
    <w:rsid w:val="27F21DDC"/>
    <w:rsid w:val="28061B85"/>
    <w:rsid w:val="28F96038"/>
    <w:rsid w:val="2A4E308A"/>
    <w:rsid w:val="2D063F81"/>
    <w:rsid w:val="2EBD2E0E"/>
    <w:rsid w:val="32051052"/>
    <w:rsid w:val="3DA45043"/>
    <w:rsid w:val="41815AD0"/>
    <w:rsid w:val="42C910A8"/>
    <w:rsid w:val="4447497A"/>
    <w:rsid w:val="44CC6C2E"/>
    <w:rsid w:val="45BB117C"/>
    <w:rsid w:val="49C34AA3"/>
    <w:rsid w:val="4AB16E61"/>
    <w:rsid w:val="4CCA436C"/>
    <w:rsid w:val="4DF72F6D"/>
    <w:rsid w:val="4F0A2E55"/>
    <w:rsid w:val="553F1382"/>
    <w:rsid w:val="56763B83"/>
    <w:rsid w:val="5A054C64"/>
    <w:rsid w:val="5F565713"/>
    <w:rsid w:val="5FAA6092"/>
    <w:rsid w:val="61B42C51"/>
    <w:rsid w:val="65A90A99"/>
    <w:rsid w:val="670E1BEF"/>
    <w:rsid w:val="68AD274F"/>
    <w:rsid w:val="69440819"/>
    <w:rsid w:val="69D02B99"/>
    <w:rsid w:val="6CCE0EE6"/>
    <w:rsid w:val="6FB16FC8"/>
    <w:rsid w:val="6FF173C5"/>
    <w:rsid w:val="73C337A4"/>
    <w:rsid w:val="76A333E3"/>
    <w:rsid w:val="776F2F7F"/>
    <w:rsid w:val="7FB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4031F"/>
  <w15:docId w15:val="{A978548B-5677-4227-8017-C6EC1F5E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Chars="200" w:firstLine="2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807</Words>
  <Characters>4603</Characters>
  <Application>Microsoft Office Word</Application>
  <DocSecurity>0</DocSecurity>
  <Lines>38</Lines>
  <Paragraphs>10</Paragraphs>
  <ScaleCrop>false</ScaleCrop>
  <Company>Micorosoft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30</cp:revision>
  <dcterms:created xsi:type="dcterms:W3CDTF">2026-01-20T09:24:00Z</dcterms:created>
  <dcterms:modified xsi:type="dcterms:W3CDTF">2026-01-22T13:41:00Z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02A0653707664EDCA113EA1DE93E0E12_13</vt:lpwstr>
  </property>
  <property fmtid="{D5CDD505-2E9C-101B-9397-08002B2CF9AE}" pid="4" name="KSOTemplateDocerSaveRecord">
    <vt:lpwstr>eyJoZGlkIjoiOTRmNzkxYjAwMjE3YWQ1NTk5MzgwMTBiNjgzNDQzYTkifQ==</vt:lpwstr>
  </property>
</Properties>
</file>