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59B28">
      <w:pPr>
        <w:jc w:val="left"/>
        <w:rPr>
          <w:b/>
          <w:bCs/>
          <w:sz w:val="28"/>
          <w:szCs w:val="28"/>
        </w:rPr>
      </w:pPr>
      <w:r>
        <w:rPr>
          <w:rFonts w:hint="eastAsia"/>
          <w:b/>
          <w:bCs/>
          <w:szCs w:val="24"/>
        </w:rPr>
        <w:t xml:space="preserve">证券代码： </w:t>
      </w:r>
      <w:r>
        <w:rPr>
          <w:b/>
          <w:bCs/>
          <w:szCs w:val="24"/>
        </w:rPr>
        <w:t xml:space="preserve">688790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证券简称： 昂瑞微</w:t>
      </w:r>
    </w:p>
    <w:p w14:paraId="284553C4">
      <w:pPr>
        <w:jc w:val="center"/>
        <w:rPr>
          <w:b/>
          <w:bCs/>
          <w:sz w:val="28"/>
          <w:szCs w:val="28"/>
        </w:rPr>
      </w:pPr>
      <w:r>
        <w:rPr>
          <w:rFonts w:hint="eastAsia"/>
          <w:b/>
          <w:bCs/>
          <w:sz w:val="28"/>
          <w:szCs w:val="28"/>
        </w:rPr>
        <w:t>北京昂瑞微电子技术股份有限公司</w:t>
      </w:r>
    </w:p>
    <w:p w14:paraId="272FAB0F">
      <w:pPr>
        <w:jc w:val="center"/>
        <w:rPr>
          <w:b/>
          <w:bCs/>
          <w:sz w:val="28"/>
          <w:szCs w:val="28"/>
        </w:rPr>
      </w:pPr>
      <w:r>
        <w:rPr>
          <w:rFonts w:hint="eastAsia"/>
          <w:b/>
          <w:bCs/>
          <w:sz w:val="28"/>
          <w:szCs w:val="28"/>
        </w:rPr>
        <w:t>投</w:t>
      </w:r>
      <w:bookmarkStart w:id="0" w:name="OLE_LINK4"/>
      <w:r>
        <w:rPr>
          <w:rFonts w:hint="eastAsia"/>
          <w:b/>
          <w:bCs/>
          <w:sz w:val="28"/>
          <w:szCs w:val="28"/>
        </w:rPr>
        <w:t>资者关系活动记录表</w:t>
      </w:r>
      <w:bookmarkEnd w:id="0"/>
    </w:p>
    <w:p w14:paraId="63B64804">
      <w:pPr>
        <w:ind w:firstLine="241" w:firstLineChars="100"/>
        <w:rPr>
          <w:b/>
          <w:bCs/>
          <w:szCs w:val="24"/>
        </w:rPr>
      </w:pPr>
      <w:r>
        <w:rPr>
          <w:b/>
          <w:bCs/>
          <w:szCs w:val="24"/>
        </w:rPr>
        <w:t xml:space="preserve">         </w:t>
      </w:r>
      <w:r>
        <w:rPr>
          <w:rFonts w:hint="eastAsia"/>
          <w:b/>
          <w:bCs/>
          <w:szCs w:val="24"/>
        </w:rPr>
        <w:t xml:space="preserve">                                             编号：2</w:t>
      </w:r>
      <w:r>
        <w:rPr>
          <w:b/>
          <w:bCs/>
          <w:szCs w:val="24"/>
        </w:rPr>
        <w:t>026-00</w:t>
      </w:r>
      <w:r>
        <w:rPr>
          <w:rFonts w:hint="eastAsia"/>
          <w:b/>
          <w:bCs/>
          <w:szCs w:val="24"/>
        </w:rPr>
        <w:t>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13AE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6E82FE89">
            <w:pPr>
              <w:jc w:val="center"/>
              <w:rPr>
                <w:b/>
                <w:bCs/>
                <w:szCs w:val="24"/>
              </w:rPr>
            </w:pPr>
          </w:p>
          <w:p w14:paraId="169FB84D">
            <w:pPr>
              <w:jc w:val="center"/>
              <w:rPr>
                <w:b/>
                <w:bCs/>
                <w:szCs w:val="24"/>
              </w:rPr>
            </w:pPr>
          </w:p>
          <w:p w14:paraId="1B944C7F">
            <w:pPr>
              <w:jc w:val="center"/>
              <w:rPr>
                <w:b/>
                <w:bCs/>
                <w:szCs w:val="24"/>
              </w:rPr>
            </w:pPr>
            <w:r>
              <w:rPr>
                <w:rFonts w:hint="eastAsia"/>
                <w:b/>
                <w:bCs/>
                <w:szCs w:val="24"/>
              </w:rPr>
              <w:t>投资者关系活动</w:t>
            </w:r>
          </w:p>
          <w:p w14:paraId="1F1EB772">
            <w:pPr>
              <w:jc w:val="center"/>
              <w:rPr>
                <w:b/>
                <w:bCs/>
                <w:szCs w:val="24"/>
              </w:rPr>
            </w:pPr>
            <w:r>
              <w:rPr>
                <w:rFonts w:hint="eastAsia"/>
                <w:b/>
                <w:bCs/>
                <w:szCs w:val="24"/>
              </w:rPr>
              <w:t>类别</w:t>
            </w:r>
          </w:p>
        </w:tc>
        <w:tc>
          <w:tcPr>
            <w:tcW w:w="5891" w:type="dxa"/>
          </w:tcPr>
          <w:p w14:paraId="1985DD8F">
            <w:pPr>
              <w:spacing w:line="360" w:lineRule="auto"/>
              <w:rPr>
                <w:rFonts w:ascii="宋体" w:hAnsi="宋体"/>
                <w:szCs w:val="24"/>
              </w:rPr>
            </w:pPr>
            <w:r>
              <w:rPr>
                <w:rFonts w:hint="eastAsia"/>
                <w:bCs/>
                <w:iCs/>
              </w:rPr>
              <w:t>√</w:t>
            </w: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708EC0B8">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t>□业绩说明会</w:t>
            </w:r>
          </w:p>
          <w:p w14:paraId="66D90B35">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017DBA92">
            <w:pPr>
              <w:spacing w:line="360" w:lineRule="auto"/>
              <w:rPr>
                <w:szCs w:val="24"/>
              </w:rPr>
            </w:pPr>
            <w:r>
              <w:rPr>
                <w:rFonts w:hint="eastAsia" w:ascii="宋体" w:hAnsi="宋体"/>
                <w:szCs w:val="24"/>
              </w:rPr>
              <w:t>□现场参观□其他</w:t>
            </w:r>
          </w:p>
        </w:tc>
      </w:tr>
      <w:tr w14:paraId="1AFD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405" w:type="dxa"/>
            <w:vAlign w:val="center"/>
          </w:tcPr>
          <w:p w14:paraId="3DDA2904">
            <w:pPr>
              <w:jc w:val="center"/>
              <w:rPr>
                <w:b/>
                <w:bCs/>
                <w:szCs w:val="24"/>
              </w:rPr>
            </w:pPr>
            <w:r>
              <w:rPr>
                <w:rFonts w:hint="eastAsia"/>
                <w:b/>
                <w:bCs/>
                <w:szCs w:val="24"/>
              </w:rPr>
              <w:t>参与单位名称</w:t>
            </w:r>
          </w:p>
          <w:p w14:paraId="355617F4">
            <w:pPr>
              <w:jc w:val="center"/>
              <w:rPr>
                <w:b/>
                <w:bCs/>
                <w:szCs w:val="24"/>
              </w:rPr>
            </w:pPr>
            <w:r>
              <w:rPr>
                <w:rFonts w:hint="eastAsia"/>
                <w:b/>
                <w:bCs/>
                <w:szCs w:val="24"/>
              </w:rPr>
              <w:t>及姓名</w:t>
            </w:r>
          </w:p>
        </w:tc>
        <w:tc>
          <w:tcPr>
            <w:tcW w:w="5891" w:type="dxa"/>
            <w:vAlign w:val="center"/>
          </w:tcPr>
          <w:p w14:paraId="33BEF23C">
            <w:pPr>
              <w:jc w:val="center"/>
              <w:rPr>
                <w:szCs w:val="24"/>
              </w:rPr>
            </w:pPr>
            <w:r>
              <w:rPr>
                <w:rFonts w:hint="eastAsia" w:ascii="宋体" w:hAnsi="宋体"/>
                <w:szCs w:val="24"/>
              </w:rPr>
              <w:t>华夏基金、</w:t>
            </w:r>
            <w:r>
              <w:rPr>
                <w:rFonts w:hint="eastAsia"/>
                <w:szCs w:val="24"/>
              </w:rPr>
              <w:t>中邮证券、华金证券、西藏信托</w:t>
            </w:r>
          </w:p>
        </w:tc>
      </w:tr>
      <w:tr w14:paraId="7CCA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405" w:type="dxa"/>
            <w:vAlign w:val="center"/>
          </w:tcPr>
          <w:p w14:paraId="0AA5FE62">
            <w:pPr>
              <w:jc w:val="center"/>
              <w:rPr>
                <w:b/>
                <w:bCs/>
                <w:szCs w:val="24"/>
              </w:rPr>
            </w:pPr>
            <w:r>
              <w:rPr>
                <w:rFonts w:hint="eastAsia"/>
                <w:b/>
                <w:bCs/>
                <w:szCs w:val="24"/>
              </w:rPr>
              <w:t>时间</w:t>
            </w:r>
          </w:p>
        </w:tc>
        <w:tc>
          <w:tcPr>
            <w:tcW w:w="5891" w:type="dxa"/>
            <w:vAlign w:val="center"/>
          </w:tcPr>
          <w:p w14:paraId="1374BA7A">
            <w:pPr>
              <w:jc w:val="center"/>
              <w:rPr>
                <w:szCs w:val="24"/>
              </w:rPr>
            </w:pPr>
            <w:r>
              <w:rPr>
                <w:rFonts w:hint="eastAsia"/>
                <w:szCs w:val="24"/>
              </w:rPr>
              <w:t>2</w:t>
            </w:r>
            <w:r>
              <w:rPr>
                <w:szCs w:val="24"/>
              </w:rPr>
              <w:t>026</w:t>
            </w:r>
            <w:r>
              <w:rPr>
                <w:rFonts w:hint="eastAsia"/>
                <w:szCs w:val="24"/>
              </w:rPr>
              <w:t>年1月</w:t>
            </w:r>
          </w:p>
        </w:tc>
      </w:tr>
      <w:tr w14:paraId="24F1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405" w:type="dxa"/>
            <w:vAlign w:val="center"/>
          </w:tcPr>
          <w:p w14:paraId="3AC08DE7">
            <w:pPr>
              <w:jc w:val="center"/>
              <w:rPr>
                <w:b/>
                <w:bCs/>
                <w:szCs w:val="24"/>
              </w:rPr>
            </w:pPr>
            <w:r>
              <w:rPr>
                <w:rFonts w:hint="eastAsia"/>
                <w:b/>
                <w:bCs/>
                <w:szCs w:val="24"/>
              </w:rPr>
              <w:t>地点</w:t>
            </w:r>
          </w:p>
        </w:tc>
        <w:tc>
          <w:tcPr>
            <w:tcW w:w="5891" w:type="dxa"/>
            <w:vAlign w:val="center"/>
          </w:tcPr>
          <w:p w14:paraId="5C98B609">
            <w:pPr>
              <w:jc w:val="center"/>
              <w:rPr>
                <w:szCs w:val="24"/>
              </w:rPr>
            </w:pPr>
            <w:r>
              <w:rPr>
                <w:rFonts w:hint="eastAsia"/>
                <w:szCs w:val="24"/>
              </w:rPr>
              <w:t>公司会议室</w:t>
            </w:r>
          </w:p>
        </w:tc>
      </w:tr>
      <w:tr w14:paraId="7BF7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405" w:type="dxa"/>
            <w:vAlign w:val="center"/>
          </w:tcPr>
          <w:p w14:paraId="61B6CCDF">
            <w:pPr>
              <w:jc w:val="center"/>
              <w:rPr>
                <w:b/>
                <w:bCs/>
                <w:szCs w:val="24"/>
              </w:rPr>
            </w:pPr>
            <w:r>
              <w:rPr>
                <w:rFonts w:hint="eastAsia"/>
                <w:b/>
                <w:bCs/>
                <w:szCs w:val="24"/>
              </w:rPr>
              <w:t>上市公司接待人员</w:t>
            </w:r>
          </w:p>
        </w:tc>
        <w:tc>
          <w:tcPr>
            <w:tcW w:w="5891" w:type="dxa"/>
            <w:vAlign w:val="center"/>
          </w:tcPr>
          <w:p w14:paraId="6E386AB9">
            <w:pPr>
              <w:jc w:val="center"/>
              <w:rPr>
                <w:szCs w:val="24"/>
              </w:rPr>
            </w:pPr>
            <w:r>
              <w:rPr>
                <w:rFonts w:hint="eastAsia"/>
                <w:bCs/>
                <w:iCs/>
              </w:rPr>
              <w:t>董事会秘书：张馨瑜</w:t>
            </w:r>
          </w:p>
        </w:tc>
      </w:tr>
      <w:tr w14:paraId="42A0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20F9397">
            <w:pPr>
              <w:jc w:val="center"/>
              <w:rPr>
                <w:b/>
                <w:bCs/>
                <w:szCs w:val="24"/>
              </w:rPr>
            </w:pPr>
            <w:r>
              <w:rPr>
                <w:rFonts w:hint="eastAsia"/>
                <w:b/>
                <w:bCs/>
                <w:szCs w:val="24"/>
              </w:rPr>
              <w:t>投资者关系活动主要内容介绍</w:t>
            </w:r>
          </w:p>
        </w:tc>
        <w:tc>
          <w:tcPr>
            <w:tcW w:w="5891" w:type="dxa"/>
          </w:tcPr>
          <w:p w14:paraId="236BCDCE">
            <w:pPr>
              <w:wordWrap w:val="0"/>
              <w:rPr>
                <w:b/>
              </w:rPr>
            </w:pPr>
            <w:r>
              <w:rPr>
                <w:rFonts w:hint="eastAsia"/>
                <w:b/>
              </w:rPr>
              <w:t>一、</w:t>
            </w:r>
            <w:r>
              <w:rPr>
                <w:b/>
              </w:rPr>
              <w:t>交流的主要问题及回复</w:t>
            </w:r>
          </w:p>
          <w:p w14:paraId="79C32B28">
            <w:pPr>
              <w:rPr>
                <w:rFonts w:cs="Times New Roman"/>
                <w:b/>
              </w:rPr>
            </w:pPr>
            <w:r>
              <w:rPr>
                <w:rFonts w:cs="Times New Roman"/>
                <w:b/>
              </w:rPr>
              <w:t>1、公司最近业务进展情况</w:t>
            </w:r>
          </w:p>
          <w:p w14:paraId="27613D10">
            <w:pPr>
              <w:rPr>
                <w:rFonts w:cs="Times New Roman"/>
                <w:szCs w:val="24"/>
              </w:rPr>
            </w:pPr>
            <w:r>
              <w:rPr>
                <w:rFonts w:cs="Times New Roman"/>
                <w:szCs w:val="24"/>
              </w:rPr>
              <w:t>公司各项业务正有序展开。</w:t>
            </w:r>
          </w:p>
          <w:p w14:paraId="6617969F">
            <w:pPr>
              <w:rPr>
                <w:rFonts w:cs="Times New Roman"/>
                <w:szCs w:val="24"/>
              </w:rPr>
            </w:pPr>
            <w:r>
              <w:rPr>
                <w:rFonts w:cs="Times New Roman"/>
                <w:szCs w:val="24"/>
              </w:rPr>
              <w:t>客户方面，持续深化与现有核心客户的合作粘性，同时积极拓展海内外优质新客户，推进跨领域客户布局，客户结构与合作广度不断优化。产品方面，射频前端产品迭代与落地稳步推进；射频SoC产品聚焦细分赛道持续优化；其他模拟芯片产品矩阵不断丰富。未来应用方面，在巩固现有应用场景的基础上，积极向新兴领域延伸，同步跟进相关技术与市场趋势，为业务拓展储备新的增长空间。</w:t>
            </w:r>
          </w:p>
          <w:p w14:paraId="3D5D90EA">
            <w:pPr>
              <w:rPr>
                <w:rFonts w:cs="Times New Roman"/>
                <w:szCs w:val="24"/>
              </w:rPr>
            </w:pPr>
          </w:p>
          <w:p w14:paraId="7B77968A">
            <w:pPr>
              <w:rPr>
                <w:rFonts w:cs="Times New Roman"/>
                <w:b/>
                <w:bCs/>
                <w:szCs w:val="24"/>
              </w:rPr>
            </w:pPr>
            <w:r>
              <w:rPr>
                <w:rFonts w:cs="Times New Roman"/>
                <w:b/>
                <w:bCs/>
                <w:szCs w:val="24"/>
              </w:rPr>
              <w:t>2</w:t>
            </w:r>
            <w:r>
              <w:rPr>
                <w:rFonts w:hint="eastAsia" w:cs="Times New Roman"/>
                <w:b/>
                <w:bCs/>
                <w:szCs w:val="24"/>
              </w:rPr>
              <w:t>、射频</w:t>
            </w:r>
            <w:r>
              <w:rPr>
                <w:rFonts w:cs="Times New Roman"/>
                <w:b/>
                <w:bCs/>
                <w:szCs w:val="24"/>
              </w:rPr>
              <w:t>SoC</w:t>
            </w:r>
            <w:r>
              <w:rPr>
                <w:rFonts w:hint="eastAsia" w:cs="Times New Roman"/>
                <w:b/>
                <w:bCs/>
                <w:szCs w:val="24"/>
              </w:rPr>
              <w:t>市场拓展策略</w:t>
            </w:r>
          </w:p>
          <w:p w14:paraId="01FC3265">
            <w:pPr>
              <w:rPr>
                <w:rFonts w:cs="Times New Roman"/>
                <w:szCs w:val="24"/>
              </w:rPr>
            </w:pPr>
            <w:r>
              <w:rPr>
                <w:rFonts w:hint="eastAsia" w:cs="Times New Roman"/>
                <w:szCs w:val="24"/>
              </w:rPr>
              <w:t>在射频</w:t>
            </w:r>
            <w:r>
              <w:rPr>
                <w:rFonts w:cs="Times New Roman"/>
                <w:szCs w:val="24"/>
              </w:rPr>
              <w:t>SoC</w:t>
            </w:r>
            <w:r>
              <w:rPr>
                <w:rFonts w:hint="eastAsia" w:cs="Times New Roman"/>
                <w:szCs w:val="24"/>
              </w:rPr>
              <w:t>方向，公司的产品以消费类应用为主，未来，公司将把握智能零售</w:t>
            </w:r>
            <w:r>
              <w:rPr>
                <w:rFonts w:cs="Times New Roman"/>
                <w:szCs w:val="24"/>
              </w:rPr>
              <w:t>/</w:t>
            </w:r>
            <w:r>
              <w:rPr>
                <w:rFonts w:hint="eastAsia" w:cs="Times New Roman"/>
                <w:szCs w:val="24"/>
              </w:rPr>
              <w:t>电子价签、健康医疗、智慧物流等专业市场机遇，扩大产品在专业类市场的推广应用。</w:t>
            </w:r>
          </w:p>
          <w:p w14:paraId="7A677B03">
            <w:pPr>
              <w:rPr>
                <w:rFonts w:cs="Times New Roman"/>
                <w:szCs w:val="24"/>
              </w:rPr>
            </w:pPr>
          </w:p>
          <w:p w14:paraId="30C2CF89">
            <w:pPr>
              <w:rPr>
                <w:rFonts w:cs="Times New Roman"/>
                <w:b/>
                <w:szCs w:val="24"/>
              </w:rPr>
            </w:pPr>
            <w:r>
              <w:rPr>
                <w:rFonts w:cs="Times New Roman"/>
                <w:b/>
                <w:szCs w:val="24"/>
              </w:rPr>
              <w:t>3</w:t>
            </w:r>
            <w:r>
              <w:rPr>
                <w:rFonts w:hint="eastAsia" w:cs="Times New Roman"/>
                <w:b/>
                <w:szCs w:val="24"/>
              </w:rPr>
              <w:t>、公司的核心竞争力</w:t>
            </w:r>
          </w:p>
          <w:p w14:paraId="75BBA2F0">
            <w:pPr>
              <w:rPr>
                <w:rFonts w:cs="Times New Roman"/>
                <w:szCs w:val="24"/>
                <w:highlight w:val="yellow"/>
              </w:rPr>
            </w:pPr>
            <w:r>
              <w:rPr>
                <w:rFonts w:hint="eastAsia" w:cs="Times New Roman"/>
                <w:szCs w:val="24"/>
              </w:rPr>
              <w:t>公司的核心竞争力主要体现在：</w:t>
            </w:r>
            <w:r>
              <w:rPr>
                <w:rFonts w:cs="Times New Roman"/>
                <w:szCs w:val="24"/>
              </w:rPr>
              <w:t>(1)</w:t>
            </w:r>
            <w:r>
              <w:rPr>
                <w:rFonts w:hint="eastAsia" w:cs="Times New Roman"/>
                <w:szCs w:val="24"/>
              </w:rPr>
              <w:t>技术实力与产品性能：公司开发的高集成度</w:t>
            </w:r>
            <w:r>
              <w:rPr>
                <w:rFonts w:cs="Times New Roman"/>
                <w:szCs w:val="24"/>
              </w:rPr>
              <w:t>5G L-PAMiD</w:t>
            </w:r>
            <w:r>
              <w:rPr>
                <w:rFonts w:hint="eastAsia" w:cs="Times New Roman"/>
                <w:szCs w:val="24"/>
              </w:rPr>
              <w:t>产品性能已达到国际厂商水平，并已在主流品牌旗舰机型大规模量产应用；</w:t>
            </w:r>
            <w:r>
              <w:rPr>
                <w:rFonts w:cs="Times New Roman"/>
                <w:szCs w:val="24"/>
              </w:rPr>
              <w:t>(2)</w:t>
            </w:r>
            <w:r>
              <w:rPr>
                <w:rFonts w:hint="eastAsia" w:cs="Times New Roman"/>
                <w:szCs w:val="24"/>
              </w:rPr>
              <w:t>客户资源与市场地位：公司射频前端产品已导入荣耀、三星、</w:t>
            </w:r>
            <w:r>
              <w:rPr>
                <w:rFonts w:cs="Times New Roman"/>
                <w:szCs w:val="24"/>
              </w:rPr>
              <w:t>vivo</w:t>
            </w:r>
            <w:r>
              <w:rPr>
                <w:rFonts w:hint="eastAsia" w:cs="Times New Roman"/>
                <w:szCs w:val="24"/>
              </w:rPr>
              <w:t>、小米、</w:t>
            </w:r>
            <w:r>
              <w:rPr>
                <w:rFonts w:cs="Times New Roman"/>
                <w:szCs w:val="24"/>
              </w:rPr>
              <w:t>OPPO</w:t>
            </w:r>
            <w:r>
              <w:rPr>
                <w:rFonts w:hint="eastAsia" w:cs="Times New Roman"/>
                <w:szCs w:val="24"/>
              </w:rPr>
              <w:t>等知名品牌终端客户；射频</w:t>
            </w:r>
            <w:r>
              <w:rPr>
                <w:rFonts w:cs="Times New Roman"/>
                <w:szCs w:val="24"/>
              </w:rPr>
              <w:t>SoC</w:t>
            </w:r>
            <w:r>
              <w:rPr>
                <w:rFonts w:hint="eastAsia" w:cs="Times New Roman"/>
                <w:szCs w:val="24"/>
              </w:rPr>
              <w:t>产品导入阿里、拼多多、联想、比亚迪等知名工业、物联网客户，形成了良好的市场口碑。</w:t>
            </w:r>
          </w:p>
          <w:p w14:paraId="57C29146">
            <w:pPr>
              <w:rPr>
                <w:rFonts w:cs="Times New Roman"/>
                <w:szCs w:val="24"/>
              </w:rPr>
            </w:pPr>
          </w:p>
          <w:p w14:paraId="48DEF1F9">
            <w:pPr>
              <w:rPr>
                <w:rFonts w:cs="Times New Roman"/>
                <w:b/>
                <w:szCs w:val="24"/>
              </w:rPr>
            </w:pPr>
            <w:r>
              <w:rPr>
                <w:rFonts w:cs="Times New Roman"/>
                <w:b/>
                <w:szCs w:val="24"/>
              </w:rPr>
              <w:t>4、公司产品战略布局思路</w:t>
            </w:r>
          </w:p>
          <w:p w14:paraId="71EABF12">
            <w:pPr>
              <w:rPr>
                <w:rFonts w:cs="Times New Roman"/>
                <w:szCs w:val="24"/>
              </w:rPr>
            </w:pPr>
            <w:r>
              <w:rPr>
                <w:rFonts w:cs="Times New Roman"/>
                <w:szCs w:val="24"/>
              </w:rPr>
              <w:t>公司产品战略聚焦射频前端，把握“</w:t>
            </w:r>
            <w:bookmarkStart w:id="1" w:name="OLE_LINK5"/>
            <w:r>
              <w:rPr>
                <w:rFonts w:cs="Times New Roman"/>
                <w:szCs w:val="24"/>
              </w:rPr>
              <w:t>模组化</w:t>
            </w:r>
            <w:bookmarkEnd w:id="1"/>
            <w:r>
              <w:rPr>
                <w:rFonts w:cs="Times New Roman"/>
                <w:szCs w:val="24"/>
              </w:rPr>
              <w:t>”趋势，持续迭代L-PAMiD等高端模组。协同发展射频SoC，重点拓展智能零售、智慧物流、物联网模块、智能寻物、健康医疗、车载出行等专业类应用场景，并加速出海进程。布局其他模拟芯片，形成协同矩阵。前瞻性布局卫星通信、车载通信等增量市场，筑牢长期发展壁垒。</w:t>
            </w:r>
          </w:p>
          <w:p w14:paraId="0EC95833">
            <w:pPr>
              <w:rPr>
                <w:rFonts w:cs="Times New Roman"/>
                <w:szCs w:val="24"/>
              </w:rPr>
            </w:pPr>
          </w:p>
          <w:p w14:paraId="7ABAE406">
            <w:pPr>
              <w:rPr>
                <w:rFonts w:cs="Times New Roman"/>
                <w:b/>
                <w:szCs w:val="24"/>
              </w:rPr>
            </w:pPr>
            <w:r>
              <w:rPr>
                <w:rFonts w:cs="Times New Roman"/>
                <w:b/>
                <w:szCs w:val="24"/>
              </w:rPr>
              <w:t>5、公司的行业展望，对射频前端行业竞争格局演进的看法</w:t>
            </w:r>
          </w:p>
          <w:p w14:paraId="038B69CE">
            <w:pPr>
              <w:rPr>
                <w:rFonts w:cs="Times New Roman"/>
                <w:szCs w:val="24"/>
              </w:rPr>
            </w:pPr>
            <w:r>
              <w:rPr>
                <w:rFonts w:cs="Times New Roman"/>
                <w:color w:val="000000" w:themeColor="text1"/>
                <w14:textFill>
                  <w14:solidFill>
                    <w14:schemeClr w14:val="tx1"/>
                  </w14:solidFill>
                </w14:textFill>
              </w:rPr>
              <w:t>行业竞争格局的演变将受到整体市场环境与新产品迭代速度等多重因素的影响，长期看会逐步从无序竞争回归到有序竞争。</w:t>
            </w:r>
            <w:r>
              <w:rPr>
                <w:rFonts w:cs="Times New Roman"/>
              </w:rPr>
              <w:t>未来行业核心竞争力源于客户合作粘性、产品创新、海外拓展及细分领域突破。</w:t>
            </w:r>
            <w:r>
              <w:rPr>
                <w:rFonts w:cs="Times New Roman"/>
                <w:color w:val="000000" w:themeColor="text1"/>
                <w14:textFill>
                  <w14:solidFill>
                    <w14:schemeClr w14:val="tx1"/>
                  </w14:solidFill>
                </w14:textFill>
              </w:rPr>
              <w:t>在此背景下，公司将专注于核心技术的研发、产品线的布局完善、客户和市场的开拓，以确保在激烈的市场角逐中稳固自身竞争优势。</w:t>
            </w:r>
          </w:p>
          <w:p w14:paraId="336A8062">
            <w:pPr>
              <w:rPr>
                <w:rFonts w:cs="Times New Roman"/>
                <w:szCs w:val="24"/>
              </w:rPr>
            </w:pPr>
          </w:p>
          <w:p w14:paraId="0A90D4AE">
            <w:pPr>
              <w:rPr>
                <w:rFonts w:cs="Times New Roman"/>
                <w:b/>
                <w:szCs w:val="24"/>
              </w:rPr>
            </w:pPr>
            <w:r>
              <w:rPr>
                <w:rFonts w:cs="Times New Roman"/>
                <w:b/>
                <w:szCs w:val="24"/>
              </w:rPr>
              <w:t>6、公司产品的下游应用领域及占比情况</w:t>
            </w:r>
          </w:p>
          <w:p w14:paraId="21148E7F">
            <w:pPr>
              <w:rPr>
                <w:rFonts w:cs="Times New Roman"/>
                <w:szCs w:val="24"/>
              </w:rPr>
            </w:pPr>
            <w:r>
              <w:rPr>
                <w:rFonts w:cs="Times New Roman"/>
                <w:szCs w:val="24"/>
              </w:rPr>
              <w:t>公司射频前端芯片产品主要下游应用领域为移动智能终端行业，并正在重点拓展智能汽车、物联网模块、智能穿戴领域。我国射频前端厂商市场占有率仍相对较低，合计约20%（以金额计），在关键技术领域仍有很大的国产化替代空间。公司射频SoC芯片下游应用领域主要为无线键鼠、智能家居、健康医疗、智慧物流等。公司正不断在一些具有广阔市场前景的新兴应用领域取得突破。</w:t>
            </w:r>
          </w:p>
          <w:p w14:paraId="2D033765">
            <w:pPr>
              <w:rPr>
                <w:rFonts w:cs="Times New Roman"/>
                <w:szCs w:val="24"/>
              </w:rPr>
            </w:pPr>
          </w:p>
          <w:p w14:paraId="2CAB57C2">
            <w:pPr>
              <w:rPr>
                <w:rFonts w:cs="Times New Roman"/>
                <w:b/>
                <w:szCs w:val="24"/>
              </w:rPr>
            </w:pPr>
            <w:r>
              <w:rPr>
                <w:rFonts w:cs="Times New Roman"/>
                <w:b/>
                <w:szCs w:val="24"/>
              </w:rPr>
              <w:t>7、卫星通讯产品的规划</w:t>
            </w:r>
          </w:p>
          <w:p w14:paraId="6145BE55">
            <w:pPr>
              <w:rPr>
                <w:rFonts w:cs="Times New Roman"/>
              </w:rPr>
            </w:pPr>
            <w:r>
              <w:rPr>
                <w:rFonts w:cs="Times New Roman"/>
              </w:rPr>
              <w:t>目前，公司卫星通信产品可同时兼容北斗、天通及低轨卫星通信系统，已于多家品</w:t>
            </w:r>
            <w:bookmarkStart w:id="2" w:name="_GoBack"/>
            <w:bookmarkEnd w:id="2"/>
            <w:r>
              <w:rPr>
                <w:rFonts w:cs="Times New Roman"/>
              </w:rPr>
              <w:t>牌手机终端客户的高端机型实现量产出货。</w:t>
            </w:r>
          </w:p>
          <w:p w14:paraId="4185C405">
            <w:pPr>
              <w:rPr>
                <w:rFonts w:cs="Times New Roman"/>
              </w:rPr>
            </w:pPr>
            <w:r>
              <w:rPr>
                <w:rFonts w:cs="Times New Roman"/>
              </w:rPr>
              <w:t>公司将提前布局未来相关产品研究，如第六代移动通信、天通北斗低轨三合一的卫星通信高集成度射频前端芯片、高可靠性车载通信射频前端模组等前沿技术与产品，并加强与产业链企业、研究机构等横向技术合作，持续保持前瞻视野。</w:t>
            </w:r>
          </w:p>
          <w:p w14:paraId="265B6A50">
            <w:pPr>
              <w:rPr>
                <w:rFonts w:cs="Times New Roman"/>
                <w:szCs w:val="24"/>
              </w:rPr>
            </w:pPr>
          </w:p>
          <w:p w14:paraId="5FAD1721">
            <w:pPr>
              <w:rPr>
                <w:rFonts w:cs="Times New Roman"/>
                <w:b/>
                <w:szCs w:val="24"/>
              </w:rPr>
            </w:pPr>
            <w:r>
              <w:rPr>
                <w:rFonts w:cs="Times New Roman"/>
                <w:b/>
                <w:szCs w:val="24"/>
              </w:rPr>
              <w:t>8、未来两年的核心发展方向</w:t>
            </w:r>
          </w:p>
          <w:p w14:paraId="1453C2F6">
            <w:pPr>
              <w:rPr>
                <w:szCs w:val="24"/>
              </w:rPr>
            </w:pPr>
            <w:r>
              <w:rPr>
                <w:rFonts w:cs="Times New Roman"/>
                <w:szCs w:val="24"/>
              </w:rPr>
              <w:t>未来，公司核心发展方向聚焦六方面：一是强化研发投入，推动射频前端L-PAMiD等高集成度产品升级，深化射频SoC低功耗、高集成优势；二是深耕移动智能终端市场，拓展车载通信、卫星通信等新兴应用场景；三是</w:t>
            </w:r>
            <w:r>
              <w:rPr>
                <w:rFonts w:hint="eastAsia" w:cs="Times New Roman"/>
                <w:szCs w:val="24"/>
              </w:rPr>
              <w:t>加强</w:t>
            </w:r>
            <w:r>
              <w:rPr>
                <w:rFonts w:cs="Times New Roman"/>
                <w:szCs w:val="24"/>
              </w:rPr>
              <w:t>供应链安全与成本优势；四是深化大客户战略合作，拓展优质客户群体，提升市场占有率；五是完善人才体系建设，支持业务的持续发展；六是拓展海外市场，具备国际化竞争能力。</w:t>
            </w:r>
          </w:p>
        </w:tc>
      </w:tr>
      <w:tr w14:paraId="1400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55F55335">
            <w:pPr>
              <w:jc w:val="center"/>
              <w:rPr>
                <w:b/>
                <w:bCs/>
                <w:szCs w:val="24"/>
              </w:rPr>
            </w:pPr>
            <w:r>
              <w:rPr>
                <w:rFonts w:hint="eastAsia"/>
                <w:b/>
                <w:bCs/>
                <w:szCs w:val="24"/>
              </w:rPr>
              <w:t>关于本次活动是否涉及应当披露重大信息的说明</w:t>
            </w:r>
          </w:p>
        </w:tc>
        <w:tc>
          <w:tcPr>
            <w:tcW w:w="5891" w:type="dxa"/>
            <w:vAlign w:val="center"/>
          </w:tcPr>
          <w:p w14:paraId="3F86087F">
            <w:pPr>
              <w:jc w:val="center"/>
              <w:rPr>
                <w:szCs w:val="24"/>
              </w:rPr>
            </w:pPr>
            <w:r>
              <w:rPr>
                <w:rFonts w:hint="eastAsia"/>
                <w:bCs/>
                <w:iCs/>
              </w:rPr>
              <w:t>本次活动不涉及应当披露重大信息。</w:t>
            </w:r>
          </w:p>
        </w:tc>
      </w:tr>
      <w:tr w14:paraId="6B61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05" w:type="dxa"/>
            <w:vAlign w:val="center"/>
          </w:tcPr>
          <w:p w14:paraId="40278F29">
            <w:pPr>
              <w:jc w:val="center"/>
              <w:rPr>
                <w:b/>
                <w:bCs/>
                <w:szCs w:val="24"/>
              </w:rPr>
            </w:pPr>
            <w:r>
              <w:rPr>
                <w:rFonts w:hint="eastAsia"/>
                <w:b/>
                <w:bCs/>
                <w:szCs w:val="24"/>
              </w:rPr>
              <w:t>附件清单（如有）</w:t>
            </w:r>
          </w:p>
        </w:tc>
        <w:tc>
          <w:tcPr>
            <w:tcW w:w="5891" w:type="dxa"/>
            <w:vAlign w:val="center"/>
          </w:tcPr>
          <w:p w14:paraId="7AC0C83D">
            <w:pPr>
              <w:jc w:val="center"/>
              <w:rPr>
                <w:rFonts w:hint="default" w:eastAsia="宋体"/>
                <w:szCs w:val="24"/>
                <w:lang w:val="en-US" w:eastAsia="zh-CN"/>
              </w:rPr>
            </w:pPr>
            <w:r>
              <w:rPr>
                <w:rFonts w:hint="eastAsia"/>
                <w:szCs w:val="24"/>
                <w:lang w:val="en-US" w:eastAsia="zh-CN"/>
              </w:rPr>
              <w:t>无</w:t>
            </w:r>
          </w:p>
        </w:tc>
      </w:tr>
      <w:tr w14:paraId="79A0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05" w:type="dxa"/>
            <w:vAlign w:val="center"/>
          </w:tcPr>
          <w:p w14:paraId="35917F9D">
            <w:pPr>
              <w:jc w:val="center"/>
              <w:rPr>
                <w:b/>
                <w:bCs/>
                <w:szCs w:val="24"/>
              </w:rPr>
            </w:pPr>
            <w:r>
              <w:rPr>
                <w:rFonts w:hint="eastAsia"/>
                <w:b/>
                <w:bCs/>
                <w:szCs w:val="24"/>
              </w:rPr>
              <w:t>日期</w:t>
            </w:r>
          </w:p>
        </w:tc>
        <w:tc>
          <w:tcPr>
            <w:tcW w:w="5891" w:type="dxa"/>
            <w:vAlign w:val="center"/>
          </w:tcPr>
          <w:p w14:paraId="552ACB70">
            <w:pPr>
              <w:jc w:val="center"/>
              <w:rPr>
                <w:szCs w:val="24"/>
              </w:rPr>
            </w:pPr>
            <w:r>
              <w:rPr>
                <w:rFonts w:hint="eastAsia"/>
                <w:szCs w:val="24"/>
              </w:rPr>
              <w:t>2</w:t>
            </w:r>
            <w:r>
              <w:rPr>
                <w:szCs w:val="24"/>
              </w:rPr>
              <w:t>026</w:t>
            </w:r>
            <w:r>
              <w:rPr>
                <w:rFonts w:hint="eastAsia"/>
                <w:szCs w:val="24"/>
              </w:rPr>
              <w:t>年1月30日</w:t>
            </w:r>
          </w:p>
        </w:tc>
      </w:tr>
    </w:tbl>
    <w:p w14:paraId="198A44CA">
      <w:pPr>
        <w:spacing w:line="360" w:lineRule="auto"/>
        <w:rPr>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1F3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46"/>
    <w:rsid w:val="00097B8D"/>
    <w:rsid w:val="000A6373"/>
    <w:rsid w:val="000B4B7A"/>
    <w:rsid w:val="000B61FC"/>
    <w:rsid w:val="000C222B"/>
    <w:rsid w:val="000D2872"/>
    <w:rsid w:val="000E1009"/>
    <w:rsid w:val="00111B33"/>
    <w:rsid w:val="00116765"/>
    <w:rsid w:val="001435A0"/>
    <w:rsid w:val="00171B17"/>
    <w:rsid w:val="00183467"/>
    <w:rsid w:val="001F0F88"/>
    <w:rsid w:val="001F7FA8"/>
    <w:rsid w:val="00201F6A"/>
    <w:rsid w:val="0020500F"/>
    <w:rsid w:val="00223372"/>
    <w:rsid w:val="002313F6"/>
    <w:rsid w:val="00273D47"/>
    <w:rsid w:val="002A0318"/>
    <w:rsid w:val="002B7D00"/>
    <w:rsid w:val="002D0603"/>
    <w:rsid w:val="002F7FD4"/>
    <w:rsid w:val="00321F61"/>
    <w:rsid w:val="003363A9"/>
    <w:rsid w:val="00356D2B"/>
    <w:rsid w:val="003573D3"/>
    <w:rsid w:val="00357CEA"/>
    <w:rsid w:val="00377B35"/>
    <w:rsid w:val="003A3A46"/>
    <w:rsid w:val="003F3C92"/>
    <w:rsid w:val="003F7083"/>
    <w:rsid w:val="004151DD"/>
    <w:rsid w:val="004207C0"/>
    <w:rsid w:val="00422248"/>
    <w:rsid w:val="00430633"/>
    <w:rsid w:val="00440618"/>
    <w:rsid w:val="004754E9"/>
    <w:rsid w:val="004C15FD"/>
    <w:rsid w:val="004E40CA"/>
    <w:rsid w:val="004F3884"/>
    <w:rsid w:val="00513BB5"/>
    <w:rsid w:val="0052304C"/>
    <w:rsid w:val="00527C88"/>
    <w:rsid w:val="005B2F16"/>
    <w:rsid w:val="005E1795"/>
    <w:rsid w:val="005F4792"/>
    <w:rsid w:val="0061404B"/>
    <w:rsid w:val="006A3406"/>
    <w:rsid w:val="006D4276"/>
    <w:rsid w:val="006E21BD"/>
    <w:rsid w:val="006F3731"/>
    <w:rsid w:val="00700D3E"/>
    <w:rsid w:val="0071177D"/>
    <w:rsid w:val="00717E52"/>
    <w:rsid w:val="0072163B"/>
    <w:rsid w:val="00750A58"/>
    <w:rsid w:val="00773E29"/>
    <w:rsid w:val="007A4592"/>
    <w:rsid w:val="007C3594"/>
    <w:rsid w:val="007D58DF"/>
    <w:rsid w:val="007E46D5"/>
    <w:rsid w:val="00840295"/>
    <w:rsid w:val="0085678F"/>
    <w:rsid w:val="008606C6"/>
    <w:rsid w:val="00871F27"/>
    <w:rsid w:val="00880942"/>
    <w:rsid w:val="0088108C"/>
    <w:rsid w:val="009411C3"/>
    <w:rsid w:val="00975BE0"/>
    <w:rsid w:val="009D033F"/>
    <w:rsid w:val="009F4679"/>
    <w:rsid w:val="00A224B7"/>
    <w:rsid w:val="00A300B7"/>
    <w:rsid w:val="00A532C5"/>
    <w:rsid w:val="00A84C68"/>
    <w:rsid w:val="00A97013"/>
    <w:rsid w:val="00AD2689"/>
    <w:rsid w:val="00B05ABA"/>
    <w:rsid w:val="00B4093F"/>
    <w:rsid w:val="00B42FDE"/>
    <w:rsid w:val="00B4428E"/>
    <w:rsid w:val="00B71EE6"/>
    <w:rsid w:val="00B7533A"/>
    <w:rsid w:val="00B91E28"/>
    <w:rsid w:val="00BD41A1"/>
    <w:rsid w:val="00BD7ACE"/>
    <w:rsid w:val="00C45133"/>
    <w:rsid w:val="00C4634E"/>
    <w:rsid w:val="00CA459F"/>
    <w:rsid w:val="00CD76E0"/>
    <w:rsid w:val="00D81EDC"/>
    <w:rsid w:val="00DA15A9"/>
    <w:rsid w:val="00DA5797"/>
    <w:rsid w:val="00DB5EF6"/>
    <w:rsid w:val="00DC0644"/>
    <w:rsid w:val="00DC5E46"/>
    <w:rsid w:val="00DE0EC7"/>
    <w:rsid w:val="00E216A7"/>
    <w:rsid w:val="00E55E15"/>
    <w:rsid w:val="00E8062E"/>
    <w:rsid w:val="00E9000F"/>
    <w:rsid w:val="00ED1368"/>
    <w:rsid w:val="00EF01BC"/>
    <w:rsid w:val="00F27AAB"/>
    <w:rsid w:val="00F34574"/>
    <w:rsid w:val="00F81C72"/>
    <w:rsid w:val="00FF58C9"/>
    <w:rsid w:val="02FE0293"/>
    <w:rsid w:val="0BA83350"/>
    <w:rsid w:val="1F0D7FDF"/>
    <w:rsid w:val="1FAE5A3B"/>
    <w:rsid w:val="35056ABF"/>
    <w:rsid w:val="408E3038"/>
    <w:rsid w:val="48192F0A"/>
    <w:rsid w:val="49DD1D6D"/>
    <w:rsid w:val="4B5D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annotation reference"/>
    <w:basedOn w:val="9"/>
    <w:semiHidden/>
    <w:unhideWhenUsed/>
    <w:qFormat/>
    <w:uiPriority w:val="99"/>
    <w:rPr>
      <w:sz w:val="21"/>
      <w:szCs w:val="21"/>
    </w:rPr>
  </w:style>
  <w:style w:type="character" w:customStyle="1" w:styleId="12">
    <w:name w:val="批注框文本 字符"/>
    <w:basedOn w:val="9"/>
    <w:link w:val="3"/>
    <w:semiHidden/>
    <w:qFormat/>
    <w:uiPriority w:val="99"/>
    <w:rPr>
      <w:rFonts w:ascii="Times New Roman" w:hAnsi="Times New Roman" w:eastAsia="宋体"/>
      <w:sz w:val="18"/>
      <w:szCs w:val="18"/>
    </w:rPr>
  </w:style>
  <w:style w:type="character" w:customStyle="1" w:styleId="13">
    <w:name w:val="页眉 字符"/>
    <w:basedOn w:val="9"/>
    <w:link w:val="5"/>
    <w:qFormat/>
    <w:uiPriority w:val="99"/>
    <w:rPr>
      <w:rFonts w:ascii="Times New Roman" w:hAnsi="Times New Roman" w:eastAsia="宋体"/>
      <w:sz w:val="18"/>
      <w:szCs w:val="18"/>
    </w:rPr>
  </w:style>
  <w:style w:type="character" w:customStyle="1" w:styleId="14">
    <w:name w:val="页脚 字符"/>
    <w:basedOn w:val="9"/>
    <w:link w:val="4"/>
    <w:qFormat/>
    <w:uiPriority w:val="99"/>
    <w:rPr>
      <w:rFonts w:ascii="Times New Roman" w:hAnsi="Times New Roman" w:eastAsia="宋体"/>
      <w:sz w:val="18"/>
      <w:szCs w:val="18"/>
    </w:rPr>
  </w:style>
  <w:style w:type="character" w:customStyle="1" w:styleId="15">
    <w:name w:val="批注文字 字符"/>
    <w:basedOn w:val="9"/>
    <w:link w:val="2"/>
    <w:qFormat/>
    <w:uiPriority w:val="99"/>
    <w:rPr>
      <w:rFonts w:cstheme="minorBidi"/>
      <w:kern w:val="2"/>
      <w:sz w:val="24"/>
      <w:szCs w:val="22"/>
    </w:rPr>
  </w:style>
  <w:style w:type="character" w:customStyle="1" w:styleId="16">
    <w:name w:val="批注主题 字符"/>
    <w:basedOn w:val="15"/>
    <w:link w:val="6"/>
    <w:semiHidden/>
    <w:qFormat/>
    <w:uiPriority w:val="99"/>
    <w:rPr>
      <w:rFonts w:cstheme="minorBidi"/>
      <w:b/>
      <w:bCs/>
      <w:kern w:val="2"/>
      <w:sz w:val="24"/>
      <w:szCs w:val="22"/>
    </w:rPr>
  </w:style>
  <w:style w:type="paragraph" w:customStyle="1" w:styleId="17">
    <w:name w:val="Revision"/>
    <w:hidden/>
    <w:semiHidden/>
    <w:uiPriority w:val="99"/>
    <w:rPr>
      <w:rFonts w:ascii="Times New Roman" w:hAnsi="Times New Roman" w:eastAsia="宋体" w:cstheme="minorBidi"/>
      <w:kern w:val="2"/>
      <w:sz w:val="24"/>
      <w:szCs w:val="22"/>
      <w:lang w:val="en-US" w:eastAsia="zh-CN" w:bidi="ar-SA"/>
    </w:r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theme" Target="theme/theme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styles" Target="styles.xml"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1556</Words>
  <Characters>1620</Characters>
  <Lines>12</Lines>
  <Paragraphs>3</Paragraphs>
  <TotalTime>14</TotalTime>
  <ScaleCrop>false</ScaleCrop>
  <LinksUpToDate>false</LinksUpToDate>
  <CharactersWithSpaces>1729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2026-01-30T06:40:00Z</dcterms:created>
  <dc:creator>荣大-李雷</dc:creator>
  <cp:lastModifiedBy>sala</cp:lastModifiedBy>
  <dcterms:modified xsi:type="dcterms:W3CDTF">2026-01-30T07:24:34Z</dcterms:modified>
  <cp:revision>5</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2052-12.1.0.24657</vt:lpwstr>
  </op:property>
  <op:property fmtid="{D5CDD505-2E9C-101B-9397-08002B2CF9AE}" pid="3" name="ICV">
    <vt:lpwstr>2404036095E249089AA1B1DBFB4EAA85_13</vt:lpwstr>
  </op:property>
  <op:property fmtid="{D5CDD505-2E9C-101B-9397-08002B2CF9AE}" pid="4" name="KSOTemplateDocerSaveRecord">
    <vt:lpwstr>eyJoZGlkIjoiMzc3MDlhOTljNzhiMzI1N2ExMmZjOThiYmZlZGEzMDciLCJ1c2VySWQiOiI3MTE1MzE1MzYifQ==</vt:lpwstr>
  </op:property>
  <op:property fmtid="{D5CDD505-2E9C-101B-9397-08002B2CF9AE}" pid="5" name="_IPGFID">
    <vt:lpwstr>[DocID]=7364E7FA-B6AC-44B8-A7AF-981DAC026463</vt:lpwstr>
  </op:property>
  <op:property fmtid="{D5CDD505-2E9C-101B-9397-08002B2CF9AE}" pid="6" name="_IPGFLOW_P-846A_E-1_FP-1_SP-1_CV-70142AE6_CN-2D7FDE03">
    <vt:lpwstr>x1FI1iKnTISZC5VprRp16YiBUAdV52ALrD1PeH27Rpdac++0tippbaye/MeiYSzjuJgr46Wnz4LzNP2UtBJzzMAm2+juCiYc/MrLOVRft+l9t9NdVqVaCfnrGMNkjLDGXxw7PZXxvDSucRTd7bLTYlf5pZaVXiHF8N/eQsT1TfoMER4F3P/nympIKBwVGbMHaoejmFZktMOweXUQaylhv6KoL5nbinDG7hkj8c7g8O6MhjObFX7+bPvNqdTkhhj</vt:lpwstr>
  </op:property>
  <op:property fmtid="{D5CDD505-2E9C-101B-9397-08002B2CF9AE}" pid="7" name="_IPGFLOW_P-846A_E-1_FP-1_SP-2_CV-4C0E9E94_CN-71D81D49">
    <vt:lpwstr>YNobE7AbOzoo7IP3ORdo0nDTXsajMzFfqAXjUVnf//Z8Xj2FmhMIqB7d0qcqOTIa97XcZ0N3sz83f13Qz/0nq1b7/N8rBFsi/b2HAWoy/hfzRDFz6tYrkLNRqCpRwiz6e</vt:lpwstr>
  </op:property>
  <op:property fmtid="{D5CDD505-2E9C-101B-9397-08002B2CF9AE}" pid="8" name="_IPGFLOW_P-846A_E-0_FP-1_CV-1748F583_CN-7C72998D">
    <vt:lpwstr>DPSPMK|3|384|2|0</vt:lpwstr>
  </op:property>
  <op:property fmtid="{D5CDD505-2E9C-101B-9397-08002B2CF9AE}" pid="9" name="_IPGFLOW_P-846A_E-1_FP-2_SP-1_CV-DA22933A_CN-919DC853">
    <vt:lpwstr>x1FI1iKnTISZC5VprRp16eRdzAAoB8uogNLMt+ZcIzE2VefP5PbMFEVsfTTzXKXJzuP+U8aXXtyHDtqF7nulCm/76IuvTBZGrknOOf+XISP1xdm4yJBF5r+vP+clad2stLiRishBLqbH7Oa9mt54MQE+6xwnDb0cD9423IgSlTAAtS5xU4JCgft/OVzbIiGYro20uXkBn90dCwnyYELHHDm/h5bYSTVvYBDR2Llr5EfOcK19PJUOsXJljD3TyK8</vt:lpwstr>
  </op:property>
  <op:property fmtid="{D5CDD505-2E9C-101B-9397-08002B2CF9AE}" pid="10" name="_IPGFLOW_P-846A_E-1_FP-2_SP-2_CV-F451EBE_CN-3F1C95F6">
    <vt:lpwstr>mzaP1LqaB/S5sLnBMjL/JkilDfxekLZ4tQIT3Wql2QOBl0LDBDpHENQ4I9hfQJSfq4h6B1o7z2VHujO2pAfJ6Fr666vtS2XhZY+Eo4Ds/DQ7PAEEIzjPyPqgErp+vDq8X</vt:lpwstr>
  </op:property>
  <op:property fmtid="{D5CDD505-2E9C-101B-9397-08002B2CF9AE}" pid="11" name="_IPGFLOW_P-846A_E-0_FP-2_CV-1748F583_CN-C1B8F543">
    <vt:lpwstr>DPSPMK|3|384|2|0</vt:lpwstr>
  </op:property>
  <op:property fmtid="{D5CDD505-2E9C-101B-9397-08002B2CF9AE}" pid="12" name="_IPGFLOW_P-846A_E-1_FP-3_SP-1_CV-6A9DF277_CN-637BC603">
    <vt:lpwstr>x1FI1iKnTISZC5VprRp16S+Rhd0HU9hpVcXqLOe0z4xOb1KX5JVP3TWZ7dp4eISU803DBl7VQxb3Gfr386tAVuWr0+V5yoGsPNcQ1qXsdzuAc2YMCWaQ91fQg0su9JrPYz7OC2KgIs0hrJnWtHXStF/mB+XBzf4JsiOxtBg+ETx264XETkcPJ9d3ZRqglTrg5SRoHRVt6echKSLuU67bgQOlEtZN6tBszsZkqDXN1+Crl0ugK2+lgMflMDgWCpl</vt:lpwstr>
  </op:property>
  <op:property fmtid="{D5CDD505-2E9C-101B-9397-08002B2CF9AE}" pid="13" name="_IPGFLOW_P-846A_E-1_FP-3_SP-2_CV-D8DFF8B6_CN-AC90DC54">
    <vt:lpwstr>/blrxAHcPTCBLVsW+Bksl+ANF/b3JLA5jQ4C8mMAKbVSMPflXn4lDgDXLgDogWpIeMk3CPks46UOG3LQU10yrWLUgBfTj3lmKUmBD8NkZrsBymJNeUpaS2wiXBJ2Mt64i</vt:lpwstr>
  </op:property>
  <op:property fmtid="{D5CDD505-2E9C-101B-9397-08002B2CF9AE}" pid="14" name="_IPGFLOW_P-846A_E-0_FP-3_CV-1748F583_CN-1C2E2CC6">
    <vt:lpwstr>DPSPMK|3|384|2|0</vt:lpwstr>
  </op:property>
  <op:property fmtid="{D5CDD505-2E9C-101B-9397-08002B2CF9AE}" pid="15" name="_IPGFLOW_P-846A_E-1_FP-4_SP-1_CV-7CFC6AF_CN-28593090">
    <vt:lpwstr>x1FI1iKnTISZC5VprRp16aCGbHdZg7cXVlr94Wcr82jUoZmcu14n7kjAOnP0CHUjTL9y1JMo7hGPTF9XU89ZR+YQD1y4rCd1G2WYuT5N3bHVs2jxeYrKvk7ZN7nDR7h08JcJq0ZvOlKkANcHwNgNEV47Y+FA6g1L+iorJVKxRJRBj7rZRT70DOuh1XS95ofPpxs80Cls7s7ouDphRTuPO7ElofZuuaARm2ADrLSOD6EYG+CHtIgGHvVQlgGSgpg</vt:lpwstr>
  </op:property>
  <op:property fmtid="{D5CDD505-2E9C-101B-9397-08002B2CF9AE}" pid="16" name="_IPGFLOW_P-846A_E-1_FP-4_SP-2_CV-EBC57F37_CN-A6B409EE">
    <vt:lpwstr>4XWLKogJcoXaw3Qy/FlGbRXsyXmZmGe6B0FXJEKLDrkOUGlD3Jkr/pq+8xx5OR+HojfH+hKMycBgcfBVKkA47pybseMBu3kPmEqfzjjrOQ/h6QccZPWyCq+KHTNn4zK1l</vt:lpwstr>
  </op:property>
  <op:property fmtid="{D5CDD505-2E9C-101B-9397-08002B2CF9AE}" pid="17" name="_IPGFLOW_P-846A_E-0_FP-4_CV-1748F583_CN-615D2A9E">
    <vt:lpwstr>DPSPMK|3|384|2|0</vt:lpwstr>
  </op:property>
  <op:property fmtid="{D5CDD505-2E9C-101B-9397-08002B2CF9AE}" pid="18" name="_IPGFLOW_P-846A_E-1_FP-5_SP-1_CV-7A6750EB_CN-A9E11709">
    <vt:lpwstr>uSlQyGhtTOVA4YD2kaB67vgeU3B4IUqClh5ID54inCSQPGPcntX5xtTG8t7wdoS3ik+MYgyZcOsjK5SyJeNgrHg3X48xIexJZI3SQ0/Yw1g5p62BxE38ocpO/M+blh9lP12sEMpbk/JctYpUgmD8+ea3qPhoEYZ06jEfqFP4C8J47U0HIXFkAE0piiHod1Tfgyyzx9DCB+csOC8ATTb1gtidSKkBH5g4jL286x5tS5o2vOqtTlWr8oUlYNs4PvW</vt:lpwstr>
  </op:property>
  <op:property fmtid="{D5CDD505-2E9C-101B-9397-08002B2CF9AE}" pid="19" name="_IPGFLOW_P-846A_E-1_FP-5_SP-2_CV-2C4ECE8E_CN-1D15B1CD">
    <vt:lpwstr>ioHeNllUeiC0jQCfMGYJVTKCjgvWWs7+0T4z6KUgwlC0Q/aOQr4ZPxsociMkd9YaweVGwSBuEiAXKoGC36l/BrASiOfPLRkFhlv4vKcYAgfZoGpIln+U1ZLRO0Ya84A47</vt:lpwstr>
  </op:property>
  <op:property fmtid="{D5CDD505-2E9C-101B-9397-08002B2CF9AE}" pid="20" name="_IPGFLOW_P-846A_E-0_FP-5_CV-1748F583_CN-BCCBF31B">
    <vt:lpwstr>DPSPMK|3|384|2|0</vt:lpwstr>
  </op:property>
  <op:property fmtid="{D5CDD505-2E9C-101B-9397-08002B2CF9AE}" pid="21" name="_IPGLAB_P-846A_E-1_CV-9C1DA31_CN-82BBF2C2">
    <vt:lpwstr>1c+GNs1xCw2wMcUnLBsbH8TtLpQtcchd9yYrVGU5Ay9v9UlOS3LnRPGhPhLdDEXL3aTBYlyHAdl6qEtfKNvk2nhRJOWhwBjjhZgQcBgVK14=</vt:lpwstr>
  </op:property>
  <op:property fmtid="{D5CDD505-2E9C-101B-9397-08002B2CF9AE}" pid="22" name="_IPGFLOW_P-846A_E-0_CV-8D1D1A69_CN-9B634C54">
    <vt:lpwstr>DPFPMK|3|50|6|0</vt:lpwstr>
  </op:property>
  <op:property fmtid="{D5CDD505-2E9C-101B-9397-08002B2CF9AE}" pid="23" name="_IPGFLOW_P-846A_E-1_FP-6_SP-1_CV-23568D54_CN-FC4FEBBD">
    <vt:lpwstr>uSlQyGhtTOVA4YD2kaB67of8hi/0Xk993a6qxLH5uxccOQYoMu9alYvvHQ6bB50DWj5YYMC7e17u0rJFVJn3BnhbR8MHeazKduCCgMpoc7+DsyrqpSKcmDD/tA/5slMpGhsNvnhJh/WCPYxYUiQ2uF37pcFFiNH95vXfpY6vFCH5Bq+PbyDtJWgLrpkBIkrl2adIR63Nf5Rn8ej1FxgYugsBxbMqvDdZJZMFE0nJOO8Rs2l1B5Ccnzir7KCvJTh</vt:lpwstr>
  </op:property>
  <op:property fmtid="{D5CDD505-2E9C-101B-9397-08002B2CF9AE}" pid="24" name="_IPGFLOW_P-846A_E-1_FP-6_SP-2_CV-991A96C8_CN-F7E6F3A2">
    <vt:lpwstr>mmihiypL7jCQySY+jHzyIj1V0No+ufK3oVM7CGIvU8EKpQbYlY4A2LOC3WH2QIouaV0BqrDx6RmErQLOMVF9YHcHfEhgc9Dlk2IZBBpjLoq4=</vt:lpwstr>
  </op:property>
  <op:property fmtid="{D5CDD505-2E9C-101B-9397-08002B2CF9AE}" pid="25" name="_IPGFLOW_P-846A_E-0_FP-6_CV-2D4294F3_CN-9B9CC4A4">
    <vt:lpwstr>DPSPMK|3|364|2|0</vt:lpwstr>
  </op:property>
</op:Properties>
</file>